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A689" w14:textId="77777777" w:rsidR="008723FB" w:rsidRPr="00A025DA" w:rsidRDefault="002A48FB" w:rsidP="00A025DA">
      <w:pPr>
        <w:spacing w:before="120" w:after="200" w:line="480" w:lineRule="auto"/>
        <w:jc w:val="center"/>
        <w:rPr>
          <w:rFonts w:ascii="Arial" w:hAnsi="Arial" w:cs="Arial"/>
        </w:rPr>
      </w:pPr>
      <w:r w:rsidRPr="00A025DA">
        <w:rPr>
          <w:rFonts w:ascii="Arial" w:hAnsi="Arial" w:cs="Arial"/>
          <w:b/>
          <w:bCs/>
        </w:rPr>
        <w:t>CARDIOVASCULAR ANOMALIES AND THEIR ANAESTHETIC MANAGEMENT IN PATIENTS WITH CLEFT LIP AND PALATE</w:t>
      </w:r>
    </w:p>
    <w:p w14:paraId="1FF0052E" w14:textId="77777777" w:rsidR="00A11BD3" w:rsidRPr="00A025DA" w:rsidRDefault="00A11BD3" w:rsidP="00A025DA">
      <w:pPr>
        <w:spacing w:before="140" w:after="60" w:line="480" w:lineRule="auto"/>
        <w:rPr>
          <w:rFonts w:ascii="Arial" w:hAnsi="Arial" w:cs="Arial"/>
          <w:b/>
          <w:bCs/>
        </w:rPr>
      </w:pPr>
    </w:p>
    <w:p w14:paraId="51AE9F80" w14:textId="1393960C" w:rsidR="008723FB" w:rsidRPr="00A025DA" w:rsidRDefault="002A48FB" w:rsidP="00A025DA">
      <w:pPr>
        <w:spacing w:before="140" w:after="60" w:line="480" w:lineRule="auto"/>
        <w:rPr>
          <w:rFonts w:ascii="Arial" w:hAnsi="Arial" w:cs="Arial"/>
        </w:rPr>
      </w:pPr>
      <w:r w:rsidRPr="00A025DA">
        <w:rPr>
          <w:rFonts w:ascii="Arial" w:hAnsi="Arial" w:cs="Arial"/>
          <w:b/>
          <w:bCs/>
        </w:rPr>
        <w:t>Key Messages</w:t>
      </w:r>
    </w:p>
    <w:p w14:paraId="3329C126" w14:textId="32EC7090"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 xml:space="preserve">Common and clinically important. </w:t>
      </w:r>
      <w:r w:rsidRPr="00A025DA">
        <w:rPr>
          <w:rFonts w:ascii="Arial" w:hAnsi="Arial" w:cs="Arial"/>
        </w:rPr>
        <w:t>Congenital heart disease (CHD) is the most important cardiac comorbidity in cleft lip and palate (CLP). Reported prevalence ranges widely, from roughly 7% in pooled non-syndromic cohorts to more than 30% in prospectively echocardiographed series, depending on the population and screening method.</w:t>
      </w:r>
    </w:p>
    <w:p w14:paraId="63E3ABDD" w14:textId="335E1CF1"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 xml:space="preserve">Shared embryology. </w:t>
      </w:r>
      <w:r w:rsidRPr="00A025DA">
        <w:rPr>
          <w:rFonts w:ascii="Arial" w:hAnsi="Arial" w:cs="Arial"/>
        </w:rPr>
        <w:t xml:space="preserve">A common neural-crest origin explains the </w:t>
      </w:r>
      <w:r w:rsidRPr="00A025DA">
        <w:rPr>
          <w:rFonts w:ascii="Arial" w:hAnsi="Arial" w:cs="Arial"/>
        </w:rPr>
        <w:t>disproportionately high rate of cardiac outflow-tract (conotruncal) defects such as Tetralogy of Fallot, truncus arteriosus, and double-outlet right ventricle.</w:t>
      </w:r>
    </w:p>
    <w:p w14:paraId="30452E0E" w14:textId="7B549C32"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 xml:space="preserve">Cleft-type risk gradient. </w:t>
      </w:r>
      <w:r w:rsidRPr="00A025DA">
        <w:rPr>
          <w:rFonts w:ascii="Arial" w:hAnsi="Arial" w:cs="Arial"/>
        </w:rPr>
        <w:t>Palatal involvement carries a substantially higher CHD risk than isolated cleft lip.</w:t>
      </w:r>
    </w:p>
    <w:p w14:paraId="690490B9" w14:textId="3B0747E6"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 xml:space="preserve">Screen preoperatively. </w:t>
      </w:r>
      <w:r w:rsidRPr="00A025DA">
        <w:rPr>
          <w:rFonts w:ascii="Arial" w:hAnsi="Arial" w:cs="Arial"/>
        </w:rPr>
        <w:t>Routine echocardiography is recommended because pulse oximetry and clinical examination may miss asymptomatic, non-cyanotic septal defects, which are the dominant lesions in this population.</w:t>
      </w:r>
    </w:p>
    <w:p w14:paraId="6F30E78A" w14:textId="4FF2B2B9"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 xml:space="preserve">Individualize anaesthesia. </w:t>
      </w:r>
      <w:r w:rsidRPr="00A025DA">
        <w:rPr>
          <w:rFonts w:ascii="Arial" w:hAnsi="Arial" w:cs="Arial"/>
        </w:rPr>
        <w:t>Management must be tailored to the lesion; ketamine is preferred in cyanotic patients to preserve systemic vascular resistance and stabilize pulmonary blood flow.</w:t>
      </w:r>
    </w:p>
    <w:p w14:paraId="422F8D46" w14:textId="7F6F47A4" w:rsidR="008723FB" w:rsidRPr="00A025DA" w:rsidRDefault="002A48FB" w:rsidP="00A025DA">
      <w:pPr>
        <w:pStyle w:val="ListParagraph"/>
        <w:numPr>
          <w:ilvl w:val="0"/>
          <w:numId w:val="2"/>
        </w:numPr>
        <w:spacing w:after="60" w:line="480" w:lineRule="auto"/>
        <w:rPr>
          <w:rFonts w:ascii="Arial" w:hAnsi="Arial" w:cs="Arial"/>
        </w:rPr>
      </w:pPr>
      <w:r w:rsidRPr="00A025DA">
        <w:rPr>
          <w:rFonts w:ascii="Arial" w:hAnsi="Arial" w:cs="Arial"/>
          <w:b/>
          <w:bCs/>
        </w:rPr>
        <w:t xml:space="preserve">Stay vigilant after surgery. </w:t>
      </w:r>
      <w:r w:rsidRPr="00A025DA">
        <w:rPr>
          <w:rFonts w:ascii="Arial" w:hAnsi="Arial" w:cs="Arial"/>
        </w:rPr>
        <w:t>Watch for life-threatening hypercyanotic “Tet” spells, and resume safe feeding early as part of enhanced-recovery care.</w:t>
      </w:r>
    </w:p>
    <w:p w14:paraId="383C698C" w14:textId="77777777" w:rsidR="00A11BD3" w:rsidRPr="00A025DA" w:rsidRDefault="00A11BD3" w:rsidP="00A025DA">
      <w:pPr>
        <w:spacing w:line="480" w:lineRule="auto"/>
        <w:rPr>
          <w:rFonts w:ascii="Arial" w:hAnsi="Arial" w:cs="Arial"/>
          <w:b/>
          <w:bCs/>
        </w:rPr>
      </w:pPr>
      <w:r w:rsidRPr="00A025DA">
        <w:rPr>
          <w:rFonts w:ascii="Arial" w:hAnsi="Arial" w:cs="Arial"/>
          <w:b/>
          <w:bCs/>
        </w:rPr>
        <w:br w:type="page"/>
      </w:r>
    </w:p>
    <w:p w14:paraId="78ABB548" w14:textId="631ACF0F" w:rsidR="00A025DA" w:rsidRPr="00A025DA" w:rsidRDefault="002A48FB" w:rsidP="00A025DA">
      <w:pPr>
        <w:pStyle w:val="Heading1"/>
        <w:spacing w:before="260" w:after="120" w:line="480" w:lineRule="auto"/>
        <w:rPr>
          <w:rFonts w:ascii="Arial" w:hAnsi="Arial" w:cs="Arial"/>
          <w:color w:val="auto"/>
          <w:sz w:val="22"/>
          <w:szCs w:val="22"/>
        </w:rPr>
      </w:pPr>
      <w:r w:rsidRPr="00A025DA">
        <w:rPr>
          <w:rFonts w:ascii="Arial" w:hAnsi="Arial" w:cs="Arial"/>
          <w:b/>
          <w:bCs/>
          <w:color w:val="auto"/>
          <w:sz w:val="22"/>
          <w:szCs w:val="22"/>
        </w:rPr>
        <w:t>INTRODUCTION</w:t>
      </w:r>
    </w:p>
    <w:p w14:paraId="2C4F96BE" w14:textId="77777777" w:rsidR="008723FB" w:rsidRPr="00A025DA" w:rsidRDefault="002A48FB" w:rsidP="00A025DA">
      <w:pPr>
        <w:spacing w:after="120" w:line="480" w:lineRule="auto"/>
        <w:jc w:val="both"/>
        <w:rPr>
          <w:rFonts w:ascii="Arial" w:hAnsi="Arial" w:cs="Arial"/>
        </w:rPr>
      </w:pPr>
      <w:r w:rsidRPr="00A025DA">
        <w:rPr>
          <w:rFonts w:ascii="Arial" w:hAnsi="Arial" w:cs="Arial"/>
        </w:rPr>
        <w:t>Cleft lip and palate (CLP) anomalies are among the most common craniofacial malformations worldwide, occurring in approximately 1 in 700 live births [1]. They are frequently accompanied</w:t>
      </w:r>
      <w:r w:rsidRPr="00A025DA">
        <w:rPr>
          <w:rFonts w:ascii="Arial" w:hAnsi="Arial" w:cs="Arial"/>
        </w:rPr>
        <w:t xml:space="preserve"> by other congenital malformations. In a large single-center craniofacial series of 1,127 patients, associated anomalies were identified in 32.2% of cases and were more common in cleft palate (38.7%) than in cleft lip with or without palate (26.4%) [2]. A population-based registry of 789 oral cleft cases reported an even higher overall rate of associated anomalies (39.5%), again peaking in isolated cleft palate (52.4%) [3].</w:t>
      </w:r>
    </w:p>
    <w:p w14:paraId="0456CD6B"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Of these associated anomalies, CHD is among the most common and most clinically </w:t>
      </w:r>
      <w:r w:rsidRPr="00A025DA">
        <w:rPr>
          <w:rFonts w:ascii="Arial" w:hAnsi="Arial" w:cs="Arial"/>
        </w:rPr>
        <w:t>important, and it is a major contributor to perioperative morbidity and mortality in the CLP population. Care of these patients is complex and requires a coordinated, multidisciplinary approach to ensure safe surgical outcomes [4,5].</w:t>
      </w:r>
    </w:p>
    <w:p w14:paraId="111345E9"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Cardiac abnormalities may occur in isolation (approximately 80–85% of cases) or as part of a chromosomal (5–10%) or single-gene/hereditary (3–5%) disorder [6]. During embryogenesis, genetic and environmental factors may drive aberrant development of both the heart and the </w:t>
      </w:r>
      <w:r w:rsidRPr="00A025DA">
        <w:rPr>
          <w:rFonts w:ascii="Arial" w:hAnsi="Arial" w:cs="Arial"/>
        </w:rPr>
        <w:t>palate. Although many genes have been implicated, the molecular basis of non-syndromic orofacial clefting remains incompletely understood [6].</w:t>
      </w:r>
    </w:p>
    <w:p w14:paraId="13811DD7" w14:textId="77777777" w:rsidR="00A11BD3" w:rsidRPr="00A025DA" w:rsidRDefault="00A11BD3" w:rsidP="00A025DA">
      <w:pPr>
        <w:pStyle w:val="Heading1"/>
        <w:spacing w:before="260" w:after="120" w:line="480" w:lineRule="auto"/>
        <w:rPr>
          <w:rFonts w:ascii="Arial" w:hAnsi="Arial" w:cs="Arial"/>
          <w:b/>
          <w:bCs/>
          <w:color w:val="auto"/>
          <w:sz w:val="22"/>
          <w:szCs w:val="22"/>
        </w:rPr>
      </w:pPr>
    </w:p>
    <w:p w14:paraId="6D91F91B" w14:textId="77777777" w:rsidR="00A11BD3" w:rsidRPr="00A025DA" w:rsidRDefault="00A11BD3" w:rsidP="00A025DA">
      <w:pPr>
        <w:spacing w:line="480" w:lineRule="auto"/>
        <w:rPr>
          <w:rFonts w:ascii="Arial" w:hAnsi="Arial" w:cs="Arial"/>
          <w:b/>
          <w:bCs/>
        </w:rPr>
      </w:pPr>
      <w:r w:rsidRPr="00A025DA">
        <w:rPr>
          <w:rFonts w:ascii="Arial" w:hAnsi="Arial" w:cs="Arial"/>
          <w:b/>
          <w:bCs/>
        </w:rPr>
        <w:br w:type="page"/>
      </w:r>
    </w:p>
    <w:p w14:paraId="05BD98AD" w14:textId="16865116" w:rsidR="00A025DA" w:rsidRPr="00A025DA" w:rsidRDefault="002A48FB" w:rsidP="00A025DA">
      <w:pPr>
        <w:pStyle w:val="Heading1"/>
        <w:spacing w:before="260" w:after="120" w:line="480" w:lineRule="auto"/>
        <w:rPr>
          <w:rFonts w:ascii="Arial" w:hAnsi="Arial" w:cs="Arial"/>
          <w:color w:val="auto"/>
          <w:sz w:val="22"/>
          <w:szCs w:val="22"/>
        </w:rPr>
      </w:pPr>
      <w:r w:rsidRPr="00A025DA">
        <w:rPr>
          <w:rFonts w:ascii="Arial" w:hAnsi="Arial" w:cs="Arial"/>
          <w:b/>
          <w:bCs/>
          <w:color w:val="auto"/>
          <w:sz w:val="22"/>
          <w:szCs w:val="22"/>
        </w:rPr>
        <w:t>PATHOPHYSIOLOGY AND PREVALENCE</w:t>
      </w:r>
    </w:p>
    <w:p w14:paraId="297C8E97"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Embryological Basis</w:t>
      </w:r>
    </w:p>
    <w:p w14:paraId="2A770B27"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CLP and CHD share developmental pathways involving neural crest cells, which contribute both to craniofacial morphogenesis and to the conotruncal endocardial cushions that septate the cardiac outflow tract into the aortic and pulmonary channels. This common cellular origin is thought to underlie the frequent </w:t>
      </w:r>
      <w:r w:rsidRPr="00A025DA">
        <w:rPr>
          <w:rFonts w:ascii="Arial" w:hAnsi="Arial" w:cs="Arial"/>
        </w:rPr>
        <w:t>co-occurrence of craniofacial and cardiac malformations [5,7].</w:t>
      </w:r>
    </w:p>
    <w:p w14:paraId="14CDD2A8" w14:textId="77777777" w:rsidR="00A025DA" w:rsidRPr="00A025DA" w:rsidRDefault="00A025DA" w:rsidP="00A025DA">
      <w:pPr>
        <w:spacing w:after="120" w:line="480" w:lineRule="auto"/>
        <w:jc w:val="both"/>
        <w:rPr>
          <w:rFonts w:ascii="Arial" w:hAnsi="Arial" w:cs="Arial"/>
        </w:rPr>
      </w:pPr>
    </w:p>
    <w:p w14:paraId="33F397E8"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Prevalence</w:t>
      </w:r>
    </w:p>
    <w:p w14:paraId="231776BA"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The prevalence of CHD in CLP patients is consistently higher than in the general population and varies with the study population and screening modality. Institutional and registry series report figures such as 15% (India) [5], 10.7% (Nigeria) [9], and up to 30.7% in a prospectively echocardiographed cohort [6]. In a systematic review of 12 studies comprising 4,055 non-syndromic cleft patients, Munabi et al. found a pooled CHD </w:t>
      </w:r>
      <w:r w:rsidRPr="00A025DA">
        <w:rPr>
          <w:rFonts w:ascii="Arial" w:hAnsi="Arial" w:cs="Arial"/>
        </w:rPr>
        <w:t>prevalence of 7.4%, nearly eight-fold higher than the general-population rate of about 1% (odds ratio 7.94) [15]. A single-institution review of 739 cleft patients by Fujii et al. reported a comparable overall CHD prevalence of 7.2%, with cardiac lesions accounting for roughly half (49.5%) of all associated congenital anomalies [18]. Relative to the general population, the risk of CHD in cleft patients has been estimated to be as much as 14-fold higher [7].</w:t>
      </w:r>
    </w:p>
    <w:p w14:paraId="124D264B" w14:textId="77777777" w:rsidR="00A025DA" w:rsidRPr="00A025DA" w:rsidRDefault="00A025DA" w:rsidP="00A025DA">
      <w:pPr>
        <w:spacing w:after="120" w:line="480" w:lineRule="auto"/>
        <w:jc w:val="both"/>
        <w:rPr>
          <w:rFonts w:ascii="Arial" w:hAnsi="Arial" w:cs="Arial"/>
        </w:rPr>
      </w:pPr>
    </w:p>
    <w:p w14:paraId="56327012"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Lesion Spectrum</w:t>
      </w:r>
    </w:p>
    <w:p w14:paraId="68024CB6"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Ventricular septal defect (VSD) </w:t>
      </w:r>
      <w:r w:rsidRPr="00A025DA">
        <w:rPr>
          <w:rFonts w:ascii="Arial" w:hAnsi="Arial" w:cs="Arial"/>
        </w:rPr>
        <w:t xml:space="preserve">and atrial septal defect (ASD) are the most frequently reported lesions [4,5,9]. Munabi et al. found that septal defects made up about three-quarters (74.2%) of all CHD identified in non-syndromic clefts—lesions that often close spontaneously and rarely require surgical intervention [15]. Similarly, in the series of Fujii et al., VSD was the single most common defect (21 cases), followed by ASD (11) and patent ductus arteriosus (8) [18]. Despite this predominance of septal defects, cardiac outflow-tract </w:t>
      </w:r>
      <w:r w:rsidRPr="00A025DA">
        <w:rPr>
          <w:rFonts w:ascii="Arial" w:hAnsi="Arial" w:cs="Arial"/>
        </w:rPr>
        <w:t>lesions—Tetralogy of Fallot (TOF), double-outlet right ventricle (DORV), and truncus arteriosus—are disproportionately overrepresented in CLP compared with the general CHD population (for example, TOF/DORV 15.7% vs 6.4% and truncus 3.1% vs 1.2%), consistent with the neural-crest hypothesis [7].</w:t>
      </w:r>
    </w:p>
    <w:p w14:paraId="2F96FFCF" w14:textId="77777777" w:rsidR="00A025DA" w:rsidRPr="00A025DA" w:rsidRDefault="00A025DA" w:rsidP="00A025DA">
      <w:pPr>
        <w:spacing w:after="120" w:line="480" w:lineRule="auto"/>
        <w:jc w:val="both"/>
        <w:rPr>
          <w:rFonts w:ascii="Arial" w:hAnsi="Arial" w:cs="Arial"/>
        </w:rPr>
      </w:pPr>
    </w:p>
    <w:p w14:paraId="3B45CAB8"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Cleft-Type Correlation</w:t>
      </w:r>
    </w:p>
    <w:p w14:paraId="7F7EBE32" w14:textId="77777777" w:rsidR="008723FB" w:rsidRPr="00A025DA" w:rsidRDefault="002A48FB" w:rsidP="00A025DA">
      <w:pPr>
        <w:spacing w:after="120" w:line="480" w:lineRule="auto"/>
        <w:jc w:val="both"/>
        <w:rPr>
          <w:rFonts w:ascii="Arial" w:hAnsi="Arial" w:cs="Arial"/>
        </w:rPr>
      </w:pPr>
      <w:r w:rsidRPr="00A025DA">
        <w:rPr>
          <w:rFonts w:ascii="Arial" w:hAnsi="Arial" w:cs="Arial"/>
        </w:rPr>
        <w:t>Patients with palatal involvement (isolated cleft palate or combined cleft lip and palate) are significantly more predisposed to CHD than patients with isolated cleft lip. In the meta-analysis</w:t>
      </w:r>
      <w:r w:rsidRPr="00A025DA">
        <w:rPr>
          <w:rFonts w:ascii="Arial" w:hAnsi="Arial" w:cs="Arial"/>
        </w:rPr>
        <w:t xml:space="preserve"> by Kumar et al., the odds of CHD in cleft palate were 4.08-fold higher than in cleft lip and 1.65-fold higher than in combined cleft lip and palate [4]. This gradient is echoed by Munabi et al., who reported odds ratios for CHD (versus the general population) of 4.23 for cleft lip, 13.5 for combined cleft lip and palate, and 15.1 for cleft palate, with palatal clefts carrying roughly three-fold higher odds than isolated cleft lip [15]. Fujii et al. likewise observed rising rates of associated anomalies </w:t>
      </w:r>
      <w:r w:rsidRPr="00A025DA">
        <w:rPr>
          <w:rFonts w:ascii="Arial" w:hAnsi="Arial" w:cs="Arial"/>
        </w:rPr>
        <w:t>across the cleft spectrum, from 6.2% in cleft lip to 38.9% in submucous cleft palate [18]. Not all cohorts confirm this gradient—some report no statistically significant association between cleft type and CHD odds—underscoring the heterogeneity of study populations and screening methods [6,9].</w:t>
      </w:r>
    </w:p>
    <w:p w14:paraId="14CFD7FB" w14:textId="77777777" w:rsidR="00A025DA" w:rsidRPr="00A025DA" w:rsidRDefault="00A025DA" w:rsidP="00A025DA">
      <w:pPr>
        <w:spacing w:after="120" w:line="480" w:lineRule="auto"/>
        <w:jc w:val="both"/>
        <w:rPr>
          <w:rFonts w:ascii="Arial" w:hAnsi="Arial" w:cs="Arial"/>
        </w:rPr>
      </w:pPr>
    </w:p>
    <w:p w14:paraId="3C537DB3"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Syndromic and Maternal Factors</w:t>
      </w:r>
    </w:p>
    <w:p w14:paraId="6A0A077A"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Syndromic presentations add further complexity by combining airway and cardiovascular risk [2,3]. In the review by Fujii et al., Pierre Robin sequence was the most common associated </w:t>
      </w:r>
      <w:r w:rsidRPr="00A025DA">
        <w:rPr>
          <w:rFonts w:ascii="Arial" w:hAnsi="Arial" w:cs="Arial"/>
        </w:rPr>
        <w:t>syndrome, and both it and 22q11.2 deletion syndrome were identified among cleft patients with additional anomalies [18]. Maternal cardiovascular risk factors, including obesity, pregestational diabetes, hypertension, and active or passive smoking, have also been linked to an increased risk of orofacial clefting in the offspring, suggesting overlapping etiologic pathways between cardiovascular disease and clefting [10].</w:t>
      </w:r>
    </w:p>
    <w:p w14:paraId="0B304526" w14:textId="77777777" w:rsidR="00A11BD3" w:rsidRPr="00A025DA" w:rsidRDefault="00A11BD3" w:rsidP="00A025DA">
      <w:pPr>
        <w:spacing w:line="480" w:lineRule="auto"/>
        <w:rPr>
          <w:rFonts w:ascii="Arial" w:hAnsi="Arial" w:cs="Arial"/>
          <w:b/>
          <w:bCs/>
        </w:rPr>
      </w:pPr>
      <w:r w:rsidRPr="00A025DA">
        <w:rPr>
          <w:rFonts w:ascii="Arial" w:hAnsi="Arial" w:cs="Arial"/>
          <w:b/>
          <w:bCs/>
        </w:rPr>
        <w:br w:type="page"/>
      </w:r>
    </w:p>
    <w:p w14:paraId="292EE1ED" w14:textId="39E17C47" w:rsidR="00A025DA" w:rsidRPr="00A025DA" w:rsidRDefault="002A48FB" w:rsidP="00A025DA">
      <w:pPr>
        <w:pStyle w:val="Heading1"/>
        <w:spacing w:before="260" w:after="120" w:line="480" w:lineRule="auto"/>
        <w:rPr>
          <w:rFonts w:ascii="Arial" w:hAnsi="Arial" w:cs="Arial"/>
          <w:color w:val="auto"/>
          <w:sz w:val="22"/>
          <w:szCs w:val="22"/>
        </w:rPr>
      </w:pPr>
      <w:r w:rsidRPr="00A025DA">
        <w:rPr>
          <w:rFonts w:ascii="Arial" w:hAnsi="Arial" w:cs="Arial"/>
          <w:b/>
          <w:bCs/>
          <w:color w:val="auto"/>
          <w:sz w:val="22"/>
          <w:szCs w:val="22"/>
        </w:rPr>
        <w:t>PREOPERATIVE ASSESSMENT AND OPTIMIZATION</w:t>
      </w:r>
    </w:p>
    <w:p w14:paraId="7BB7332B"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A comprehensive cardiac evaluation is </w:t>
      </w:r>
      <w:r w:rsidRPr="00A025DA">
        <w:rPr>
          <w:rFonts w:ascii="Arial" w:hAnsi="Arial" w:cs="Arial"/>
        </w:rPr>
        <w:t>mandatory, as patients may present with undiagnosed or palliated cardiac lesions.</w:t>
      </w:r>
    </w:p>
    <w:p w14:paraId="785A136E" w14:textId="77777777" w:rsidR="00A025DA" w:rsidRPr="00A025DA" w:rsidRDefault="00A025DA" w:rsidP="00A025DA">
      <w:pPr>
        <w:spacing w:after="120" w:line="480" w:lineRule="auto"/>
        <w:jc w:val="both"/>
        <w:rPr>
          <w:rFonts w:ascii="Arial" w:hAnsi="Arial" w:cs="Arial"/>
        </w:rPr>
      </w:pPr>
    </w:p>
    <w:p w14:paraId="3E32F201"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Cardiac Screening</w:t>
      </w:r>
    </w:p>
    <w:p w14:paraId="437AF418" w14:textId="77777777" w:rsidR="008723FB" w:rsidRPr="00A025DA" w:rsidRDefault="002A48FB" w:rsidP="00A025DA">
      <w:pPr>
        <w:spacing w:after="120" w:line="480" w:lineRule="auto"/>
        <w:jc w:val="both"/>
        <w:rPr>
          <w:rFonts w:ascii="Arial" w:hAnsi="Arial" w:cs="Arial"/>
        </w:rPr>
      </w:pPr>
      <w:r w:rsidRPr="00A025DA">
        <w:rPr>
          <w:rFonts w:ascii="Arial" w:hAnsi="Arial" w:cs="Arial"/>
        </w:rPr>
        <w:t>Routine preoperative echocardiography is strongly recommended for all patients with orofacial clefts, since standard screening tools such as pulse oximetry may fail to detect non-cyanotic lesions such as ASDs or VSDs [6,9]. This limitation is especially relevant given that septal defects—the very lesions least likely to be flagged by oximetry—dominate the CHD spectrum in clefts [15]. Where echocardiography</w:t>
      </w:r>
      <w:r w:rsidRPr="00A025DA">
        <w:rPr>
          <w:rFonts w:ascii="Arial" w:hAnsi="Arial" w:cs="Arial"/>
        </w:rPr>
        <w:t xml:space="preserve"> is not routinely available, pulse oximetry combined with clinical evaluation by a pediatric cardiologist has been proposed to identify severe forms of CHD before surgery [6].</w:t>
      </w:r>
    </w:p>
    <w:p w14:paraId="7D7BBBD5" w14:textId="77777777" w:rsidR="00A025DA" w:rsidRPr="00A025DA" w:rsidRDefault="00A025DA" w:rsidP="00A025DA">
      <w:pPr>
        <w:spacing w:after="120" w:line="480" w:lineRule="auto"/>
        <w:jc w:val="both"/>
        <w:rPr>
          <w:rFonts w:ascii="Arial" w:hAnsi="Arial" w:cs="Arial"/>
        </w:rPr>
      </w:pPr>
    </w:p>
    <w:p w14:paraId="5EF30D7D"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Haematologic and Metabolic Optimization</w:t>
      </w:r>
    </w:p>
    <w:p w14:paraId="2D596D45"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Secondary polycythaemia and haemorrhagic diathesis are common in children with cyanotic CHD and require careful assessment of haemoglobin/haematocrit and coagulation profiles [11]. Necessary cardiac medications should generally be continued, and bridging protocols—for example, substituting </w:t>
      </w:r>
      <w:r w:rsidRPr="00A025DA">
        <w:rPr>
          <w:rFonts w:ascii="Arial" w:hAnsi="Arial" w:cs="Arial"/>
        </w:rPr>
        <w:t>heparin for aspirin—are important for patients on antiplatelet or anticoagulant therapy to balance intraoperative bleeding risk against thromboembolic risk [8,11].</w:t>
      </w:r>
    </w:p>
    <w:p w14:paraId="0B03E703" w14:textId="77777777" w:rsidR="00A025DA" w:rsidRPr="00A025DA" w:rsidRDefault="00A025DA" w:rsidP="00A025DA">
      <w:pPr>
        <w:spacing w:after="120" w:line="480" w:lineRule="auto"/>
        <w:jc w:val="both"/>
        <w:rPr>
          <w:rFonts w:ascii="Arial" w:hAnsi="Arial" w:cs="Arial"/>
        </w:rPr>
      </w:pPr>
    </w:p>
    <w:p w14:paraId="5AC1C961"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Fasting Guidelines</w:t>
      </w:r>
    </w:p>
    <w:p w14:paraId="57577BDB"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To prevent intravascular volume depletion, which can exacerbate right-to-left shunting in cyanotic lesions, prolonged fasting should be avoided. Modern enhanced-recovery guidance emphasizes adequate preoperative hydration by permitting clear liquids up to 1–2 hours before surgery [12]. Best-evidence syntheses of enhanced </w:t>
      </w:r>
      <w:r w:rsidRPr="00A025DA">
        <w:rPr>
          <w:rFonts w:ascii="Arial" w:hAnsi="Arial" w:cs="Arial"/>
        </w:rPr>
        <w:t>recovery after surgery (ERAS) in paediatric cleft care support this shortened fasting window—clear liquids about 2 hours preoperatively—which reduces thirst, hunger, and postoperative insulin resistance [13].</w:t>
      </w:r>
    </w:p>
    <w:p w14:paraId="12D21760" w14:textId="77777777" w:rsidR="00A11BD3" w:rsidRPr="00A025DA" w:rsidRDefault="00A11BD3" w:rsidP="00A025DA">
      <w:pPr>
        <w:spacing w:line="480" w:lineRule="auto"/>
        <w:rPr>
          <w:rFonts w:ascii="Arial" w:hAnsi="Arial" w:cs="Arial"/>
          <w:b/>
          <w:bCs/>
        </w:rPr>
      </w:pPr>
      <w:r w:rsidRPr="00A025DA">
        <w:rPr>
          <w:rFonts w:ascii="Arial" w:hAnsi="Arial" w:cs="Arial"/>
          <w:b/>
          <w:bCs/>
        </w:rPr>
        <w:br w:type="page"/>
      </w:r>
    </w:p>
    <w:p w14:paraId="523776CB" w14:textId="55D977B4" w:rsidR="008723FB" w:rsidRPr="00A025DA" w:rsidRDefault="002A48FB" w:rsidP="00A025DA">
      <w:pPr>
        <w:pStyle w:val="Heading1"/>
        <w:spacing w:before="260" w:after="120" w:line="480" w:lineRule="auto"/>
        <w:rPr>
          <w:rFonts w:ascii="Arial" w:hAnsi="Arial" w:cs="Arial"/>
          <w:color w:val="auto"/>
          <w:sz w:val="22"/>
          <w:szCs w:val="22"/>
        </w:rPr>
      </w:pPr>
      <w:r w:rsidRPr="00A025DA">
        <w:rPr>
          <w:rFonts w:ascii="Arial" w:hAnsi="Arial" w:cs="Arial"/>
          <w:b/>
          <w:bCs/>
          <w:color w:val="auto"/>
          <w:sz w:val="22"/>
          <w:szCs w:val="22"/>
        </w:rPr>
        <w:t>INTRAOPERATIVE ANAESTHETIC MANAGEMENT</w:t>
      </w:r>
    </w:p>
    <w:p w14:paraId="34D53BB7" w14:textId="77777777" w:rsidR="008723FB" w:rsidRPr="00A025DA" w:rsidRDefault="002A48FB" w:rsidP="00A025DA">
      <w:pPr>
        <w:spacing w:after="120" w:line="480" w:lineRule="auto"/>
        <w:jc w:val="both"/>
        <w:rPr>
          <w:rFonts w:ascii="Arial" w:hAnsi="Arial" w:cs="Arial"/>
        </w:rPr>
      </w:pPr>
      <w:r w:rsidRPr="00A025DA">
        <w:rPr>
          <w:rFonts w:ascii="Arial" w:hAnsi="Arial" w:cs="Arial"/>
        </w:rPr>
        <w:t>The primary anaesthetic goal is to maintain haemodynamic stability and prevent the exacerbation of abnormal shunting patterns.</w:t>
      </w:r>
    </w:p>
    <w:p w14:paraId="44C3C6DB" w14:textId="77777777" w:rsidR="00A025DA" w:rsidRPr="00A025DA" w:rsidRDefault="00A025DA" w:rsidP="00A025DA">
      <w:pPr>
        <w:spacing w:after="120" w:line="480" w:lineRule="auto"/>
        <w:jc w:val="both"/>
        <w:rPr>
          <w:rFonts w:ascii="Arial" w:hAnsi="Arial" w:cs="Arial"/>
        </w:rPr>
      </w:pPr>
    </w:p>
    <w:p w14:paraId="73609985"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Haemodynamic Control</w:t>
      </w:r>
    </w:p>
    <w:p w14:paraId="5BEE6C70"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In cyanotic patients (e.g., unrepaired TOF), it is essential to maintain systemic vascular resistance (SVR) while </w:t>
      </w:r>
      <w:r w:rsidRPr="00A025DA">
        <w:rPr>
          <w:rFonts w:ascii="Arial" w:hAnsi="Arial" w:cs="Arial"/>
        </w:rPr>
        <w:t>avoiding increases in pulmonary vascular resistance (PVR). Induction with ketamine helps preserve SVR and stabilize pulmonary blood flow [12]. In patients with palliated single-ventricle physiology (post-Glenn), anaesthesia should maintain adequate pulmonary perfusion through volume expansion and judicious use of alpha-1 adrenergic agonists, while limiting factors that raise PVR [11].</w:t>
      </w:r>
    </w:p>
    <w:p w14:paraId="00D4A86F" w14:textId="77777777" w:rsidR="00A025DA" w:rsidRPr="00A025DA" w:rsidRDefault="00A025DA" w:rsidP="00A025DA">
      <w:pPr>
        <w:spacing w:after="120" w:line="480" w:lineRule="auto"/>
        <w:jc w:val="both"/>
        <w:rPr>
          <w:rFonts w:ascii="Arial" w:hAnsi="Arial" w:cs="Arial"/>
        </w:rPr>
      </w:pPr>
    </w:p>
    <w:p w14:paraId="64C2FEE5"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Airway and Ventilation</w:t>
      </w:r>
    </w:p>
    <w:p w14:paraId="27B97AD9"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Craniofacial anomalies confer a higher risk of difficult mask ventilation, laryngoscopy, and </w:t>
      </w:r>
      <w:r w:rsidRPr="00A025DA">
        <w:rPr>
          <w:rFonts w:ascii="Arial" w:hAnsi="Arial" w:cs="Arial"/>
        </w:rPr>
        <w:t>intubation, particularly in bilateral clefts and syndromic patients [1,16]. Videolaryngoscopy is recommended to maximize first-attempt success and minimize tissue trauma, and supplemental or apnoeic oxygenation via nasal prongs is beneficial to extend the safe apnoea window during intubation [1].</w:t>
      </w:r>
    </w:p>
    <w:p w14:paraId="4B9A13DD" w14:textId="77777777" w:rsidR="00A025DA" w:rsidRPr="00A025DA" w:rsidRDefault="00A025DA" w:rsidP="00A025DA">
      <w:pPr>
        <w:spacing w:after="120" w:line="480" w:lineRule="auto"/>
        <w:jc w:val="both"/>
        <w:rPr>
          <w:rFonts w:ascii="Arial" w:hAnsi="Arial" w:cs="Arial"/>
        </w:rPr>
      </w:pPr>
    </w:p>
    <w:p w14:paraId="11AAA0A4"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Multimodal Analgesia</w:t>
      </w:r>
    </w:p>
    <w:p w14:paraId="049F142B" w14:textId="77777777" w:rsidR="00A025DA" w:rsidRPr="00A025DA" w:rsidRDefault="002A48FB" w:rsidP="00A025DA">
      <w:pPr>
        <w:spacing w:after="120" w:line="480" w:lineRule="auto"/>
        <w:jc w:val="both"/>
        <w:rPr>
          <w:rFonts w:ascii="Arial" w:hAnsi="Arial" w:cs="Arial"/>
        </w:rPr>
      </w:pPr>
      <w:r w:rsidRPr="00A025DA">
        <w:rPr>
          <w:rFonts w:ascii="Arial" w:hAnsi="Arial" w:cs="Arial"/>
        </w:rPr>
        <w:t xml:space="preserve">Opioid-sparing strategies are paramount, as excessive opioids can suppress respiratory drive and precipitate haemodynamic shifts. Regional techniques, such as the suprazygomatic maxillary </w:t>
      </w:r>
      <w:r w:rsidRPr="00A025DA">
        <w:rPr>
          <w:rFonts w:ascii="Arial" w:hAnsi="Arial" w:cs="Arial"/>
        </w:rPr>
        <w:t>nerve block and the infraorbital nerve block, provide profound localized analgesia, reduce general anaesthetic and opioid requirements, and promote earlier feeding and recovery [1,12]. Within ERAS pathways for cleft surgery, combining multimodal analgesia (paracetamol and non-steroidal anti-inflammatory drugs) with regional blocks has been shown to lower postoperative opioid use without increasing complications [13].</w:t>
      </w:r>
    </w:p>
    <w:p w14:paraId="36BFBB52" w14:textId="784B87A1" w:rsidR="008723FB" w:rsidRPr="00A025DA" w:rsidRDefault="002A48FB" w:rsidP="00A025DA">
      <w:pPr>
        <w:spacing w:after="120" w:line="480" w:lineRule="auto"/>
        <w:jc w:val="both"/>
        <w:rPr>
          <w:rFonts w:ascii="Arial" w:hAnsi="Arial" w:cs="Arial"/>
          <w:b/>
          <w:bCs/>
        </w:rPr>
      </w:pPr>
      <w:r w:rsidRPr="00A025DA">
        <w:rPr>
          <w:rFonts w:ascii="Arial" w:hAnsi="Arial" w:cs="Arial"/>
          <w:b/>
          <w:bCs/>
        </w:rPr>
        <w:t>POSTOPERATIVE CARE AND COMPLICATION MANAGEMENT</w:t>
      </w:r>
    </w:p>
    <w:p w14:paraId="45C3860D" w14:textId="77777777" w:rsidR="00A025DA" w:rsidRPr="00A025DA" w:rsidRDefault="00A025DA" w:rsidP="00A025DA">
      <w:pPr>
        <w:spacing w:after="120" w:line="480" w:lineRule="auto"/>
        <w:jc w:val="both"/>
        <w:rPr>
          <w:rFonts w:ascii="Arial" w:hAnsi="Arial" w:cs="Arial"/>
        </w:rPr>
      </w:pPr>
    </w:p>
    <w:p w14:paraId="74820391"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Patients with concomitant CHD and CLP are </w:t>
      </w:r>
      <w:r w:rsidRPr="00A025DA">
        <w:rPr>
          <w:rFonts w:ascii="Arial" w:hAnsi="Arial" w:cs="Arial"/>
        </w:rPr>
        <w:t>more complex to care for and often require significantly longer ICU and hospital stays. In a lesion-matched comparison, the presence of cleft lip and/or palate was associated with a 2- to 3.7-fold longer intensive-care stay, a 1.8- to 2.6-fold longer hospital stay, and a 6- to 13.5-fold increase in major morbidity, without a significant difference in mortality; much of this excess morbidity was driven by unplanned non-cardiac interventions such as feeding-tube placement and airway management [7].</w:t>
      </w:r>
    </w:p>
    <w:p w14:paraId="397F578A" w14:textId="77777777" w:rsidR="00A025DA" w:rsidRPr="00A025DA" w:rsidRDefault="00A025DA" w:rsidP="00A025DA">
      <w:pPr>
        <w:spacing w:after="120" w:line="480" w:lineRule="auto"/>
        <w:jc w:val="both"/>
        <w:rPr>
          <w:rFonts w:ascii="Arial" w:hAnsi="Arial" w:cs="Arial"/>
        </w:rPr>
      </w:pPr>
    </w:p>
    <w:p w14:paraId="3ACFB628" w14:textId="77777777" w:rsidR="008723FB" w:rsidRPr="00A025DA" w:rsidRDefault="002A48FB" w:rsidP="00A025DA">
      <w:pPr>
        <w:pStyle w:val="Heading2"/>
        <w:spacing w:before="160" w:after="60" w:line="480" w:lineRule="auto"/>
        <w:rPr>
          <w:rFonts w:ascii="Arial" w:hAnsi="Arial" w:cs="Arial"/>
          <w:b/>
          <w:bCs/>
          <w:color w:val="auto"/>
          <w:sz w:val="22"/>
          <w:szCs w:val="22"/>
        </w:rPr>
      </w:pPr>
      <w:r w:rsidRPr="00A025DA">
        <w:rPr>
          <w:rFonts w:ascii="Arial" w:hAnsi="Arial" w:cs="Arial"/>
          <w:b/>
          <w:bCs/>
          <w:color w:val="auto"/>
          <w:sz w:val="22"/>
          <w:szCs w:val="22"/>
        </w:rPr>
        <w:t>Monitoring and ICU Admission</w:t>
      </w:r>
    </w:p>
    <w:p w14:paraId="02CB6EAF" w14:textId="77777777" w:rsidR="00A025DA" w:rsidRPr="00A025DA" w:rsidRDefault="00A025DA" w:rsidP="00A025DA">
      <w:pPr>
        <w:pStyle w:val="Heading2"/>
        <w:spacing w:before="160" w:after="60" w:line="480" w:lineRule="auto"/>
        <w:rPr>
          <w:rFonts w:ascii="Arial" w:hAnsi="Arial" w:cs="Arial"/>
          <w:color w:val="auto"/>
          <w:sz w:val="22"/>
          <w:szCs w:val="22"/>
        </w:rPr>
      </w:pPr>
    </w:p>
    <w:p w14:paraId="4D8BE656" w14:textId="77777777" w:rsidR="008723FB" w:rsidRPr="00A025DA" w:rsidRDefault="002A48FB" w:rsidP="00A025DA">
      <w:pPr>
        <w:spacing w:after="120" w:line="480" w:lineRule="auto"/>
        <w:jc w:val="both"/>
        <w:rPr>
          <w:rFonts w:ascii="Arial" w:hAnsi="Arial" w:cs="Arial"/>
        </w:rPr>
      </w:pPr>
      <w:r w:rsidRPr="00A025DA">
        <w:rPr>
          <w:rFonts w:ascii="Arial" w:hAnsi="Arial" w:cs="Arial"/>
        </w:rPr>
        <w:t>High-risk patients, including those with complex cardiac anatomy, should bypass standard acute-care recovery floors and be admitted directly to the ICU for rigorous cardiopulmonary monitoring [7].</w:t>
      </w:r>
    </w:p>
    <w:p w14:paraId="3242078E" w14:textId="77777777" w:rsidR="00A025DA" w:rsidRPr="00A025DA" w:rsidRDefault="00A025DA" w:rsidP="00A025DA">
      <w:pPr>
        <w:spacing w:after="120" w:line="480" w:lineRule="auto"/>
        <w:jc w:val="both"/>
        <w:rPr>
          <w:rFonts w:ascii="Arial" w:hAnsi="Arial" w:cs="Arial"/>
        </w:rPr>
      </w:pPr>
    </w:p>
    <w:p w14:paraId="0B1047DD"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Hypercyanotic “Tet” Spells</w:t>
      </w:r>
    </w:p>
    <w:p w14:paraId="0AA19BDE"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The recovery team must remain vigilant for hypercyanotic spells in unrepaired TOF patients, often triggered by postoperative pain, agitation, or hypoxia. Emergency management includes 100% oxygen, knee-to-chest positioning, fluid resuscitation, morphine to </w:t>
      </w:r>
      <w:r w:rsidRPr="00A025DA">
        <w:rPr>
          <w:rFonts w:ascii="Arial" w:hAnsi="Arial" w:cs="Arial"/>
        </w:rPr>
        <w:t>reduce infundibular spasm, and vasopressors (e.g., noradrenaline or phenylephrine) to raise SVR and reverse right-to-left shunting [12].</w:t>
      </w:r>
    </w:p>
    <w:p w14:paraId="739CD817" w14:textId="77777777" w:rsidR="00A025DA" w:rsidRPr="00A025DA" w:rsidRDefault="00A025DA" w:rsidP="00A025DA">
      <w:pPr>
        <w:spacing w:after="120" w:line="480" w:lineRule="auto"/>
        <w:jc w:val="both"/>
        <w:rPr>
          <w:rFonts w:ascii="Arial" w:hAnsi="Arial" w:cs="Arial"/>
        </w:rPr>
      </w:pPr>
    </w:p>
    <w:p w14:paraId="74E53810" w14:textId="77777777" w:rsidR="008723FB" w:rsidRPr="00A025DA" w:rsidRDefault="002A48FB" w:rsidP="00A025DA">
      <w:pPr>
        <w:pStyle w:val="Heading2"/>
        <w:spacing w:before="160" w:after="60" w:line="480" w:lineRule="auto"/>
        <w:rPr>
          <w:rFonts w:ascii="Arial" w:hAnsi="Arial" w:cs="Arial"/>
          <w:color w:val="auto"/>
          <w:sz w:val="22"/>
          <w:szCs w:val="22"/>
        </w:rPr>
      </w:pPr>
      <w:r w:rsidRPr="00A025DA">
        <w:rPr>
          <w:rFonts w:ascii="Arial" w:hAnsi="Arial" w:cs="Arial"/>
          <w:b/>
          <w:bCs/>
          <w:color w:val="auto"/>
          <w:sz w:val="22"/>
          <w:szCs w:val="22"/>
        </w:rPr>
        <w:t>Feeding Protocols</w:t>
      </w:r>
    </w:p>
    <w:p w14:paraId="18A4A24B"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Early resumption of feeding is a key component of ERAS protocols [13,14]. Best-evidence syntheses recommend trial feeding once the child is fully conscious with recovered swallowing (about 2 hours after general anaesthesia), maintaining the pre-existing feeding method where possible; children with palatal repair should be fed in a semi-sitting position </w:t>
      </w:r>
      <w:r w:rsidRPr="00A025DA">
        <w:rPr>
          <w:rFonts w:ascii="Arial" w:hAnsi="Arial" w:cs="Arial"/>
        </w:rPr>
        <w:t>to minimize nasal reflux [13]. Once stable, breast or bottle feeding should be performed in a semi-upright position (30–45°) to reduce the risk of choking and nasal regurgitation, with parents educated on safe feeding techniques before discharge. Because oronasopharyngeal anomalies predispose to feeding difficulty and aspiration, these measures also help mitigate postoperative respiratory complications [1].</w:t>
      </w:r>
    </w:p>
    <w:p w14:paraId="17124CE3" w14:textId="77777777" w:rsidR="00A11BD3" w:rsidRPr="00A025DA" w:rsidRDefault="00A11BD3" w:rsidP="00A025DA">
      <w:pPr>
        <w:spacing w:line="480" w:lineRule="auto"/>
        <w:rPr>
          <w:rFonts w:ascii="Arial" w:hAnsi="Arial" w:cs="Arial"/>
          <w:b/>
          <w:bCs/>
        </w:rPr>
      </w:pPr>
      <w:r w:rsidRPr="00A025DA">
        <w:rPr>
          <w:rFonts w:ascii="Arial" w:hAnsi="Arial" w:cs="Arial"/>
          <w:b/>
          <w:bCs/>
        </w:rPr>
        <w:br w:type="page"/>
      </w:r>
    </w:p>
    <w:p w14:paraId="7EF2E10C" w14:textId="6064D37D" w:rsidR="008723FB" w:rsidRPr="00A025DA" w:rsidRDefault="002A48FB" w:rsidP="00A025DA">
      <w:pPr>
        <w:pStyle w:val="Heading1"/>
        <w:spacing w:before="260" w:after="120" w:line="480" w:lineRule="auto"/>
        <w:rPr>
          <w:rFonts w:ascii="Arial" w:hAnsi="Arial" w:cs="Arial"/>
          <w:color w:val="auto"/>
          <w:sz w:val="22"/>
          <w:szCs w:val="22"/>
        </w:rPr>
      </w:pPr>
      <w:r w:rsidRPr="00A025DA">
        <w:rPr>
          <w:rFonts w:ascii="Arial" w:hAnsi="Arial" w:cs="Arial"/>
          <w:b/>
          <w:bCs/>
          <w:color w:val="auto"/>
          <w:sz w:val="22"/>
          <w:szCs w:val="22"/>
        </w:rPr>
        <w:t>CONCLUSION</w:t>
      </w:r>
    </w:p>
    <w:p w14:paraId="46B08657" w14:textId="77777777" w:rsidR="008723FB" w:rsidRPr="00A025DA" w:rsidRDefault="002A48FB" w:rsidP="00A025DA">
      <w:pPr>
        <w:spacing w:after="120" w:line="480" w:lineRule="auto"/>
        <w:jc w:val="both"/>
        <w:rPr>
          <w:rFonts w:ascii="Arial" w:hAnsi="Arial" w:cs="Arial"/>
        </w:rPr>
      </w:pPr>
      <w:r w:rsidRPr="00A025DA">
        <w:rPr>
          <w:rFonts w:ascii="Arial" w:hAnsi="Arial" w:cs="Arial"/>
        </w:rPr>
        <w:t xml:space="preserve">The high and variable prevalence of CHD in CLP, the overrepresentation of conotruncal </w:t>
      </w:r>
      <w:r w:rsidRPr="00A025DA">
        <w:rPr>
          <w:rFonts w:ascii="Arial" w:hAnsi="Arial" w:cs="Arial"/>
        </w:rPr>
        <w:t>lesions attributable to a shared neural-crest developmental basis, and the demonstrable increase in perioperative morbidity together justify routine cardiac screening and an individualized, multidisciplinary approach to perioperative planning. In resource-limited settings, where advanced cardiac imaging may be unavailable and patients often present late, pragmatic screening and standardized perioperative protocols are particularly valuable for delivering safe cleft surgery [4,7,17].</w:t>
      </w:r>
    </w:p>
    <w:p w14:paraId="7A7E0E65" w14:textId="1F4CB585" w:rsidR="00A025DA" w:rsidRPr="00A025DA" w:rsidRDefault="002A48FB" w:rsidP="00A025DA">
      <w:pPr>
        <w:pStyle w:val="ListParagraph"/>
        <w:numPr>
          <w:ilvl w:val="0"/>
          <w:numId w:val="2"/>
        </w:numPr>
        <w:spacing w:before="260" w:after="120" w:line="480" w:lineRule="auto"/>
        <w:rPr>
          <w:rFonts w:ascii="Arial" w:hAnsi="Arial" w:cs="Arial"/>
        </w:rPr>
      </w:pPr>
      <w:r w:rsidRPr="00A025DA">
        <w:rPr>
          <w:rFonts w:ascii="Arial" w:hAnsi="Arial" w:cs="Arial"/>
          <w:b/>
          <w:bCs/>
        </w:rPr>
        <w:t xml:space="preserve">Figure. </w:t>
      </w:r>
      <w:r w:rsidR="00A025DA" w:rsidRPr="00A025DA">
        <w:rPr>
          <w:rFonts w:ascii="Arial" w:hAnsi="Arial" w:cs="Arial"/>
        </w:rPr>
        <w:t>Perioperative management algorithm for the cleft lip and palate (CLP) patient with congenital heart disease (CHD). After echocardiographic screening, patients without CHD follow the standard cleft pathway. Those with confirmed CHD undergo preoperative optimization (continuation of cardiac medications, correction of coagulation abnormalities, and a shortened fasting window), followed by intraoperative haemodynamic goals (maintaining systemic vascular resistance and avoiding rises in pulmonary vascular resistance; ketamine induction and preserved SVR in cyanotic lesions), difficult-airway preparation with videolaryngoscopy, and opioid-sparing regional analgesia. Postoperative care emphasizes direct ICU admission for complex anatomy, vigilance for hypercyanotic "Tet" spells, early semi-upright feeding, and caregiver education before discharge. SVR, systemic vascular resistance; PVR, pulmonary vascular resistance; ICU, intensive care unit.</w:t>
      </w:r>
    </w:p>
    <w:p w14:paraId="27E474E4" w14:textId="77777777" w:rsidR="00A025DA" w:rsidRPr="00A025DA" w:rsidRDefault="00A025DA" w:rsidP="00A025DA">
      <w:pPr>
        <w:spacing w:line="480" w:lineRule="auto"/>
        <w:rPr>
          <w:rFonts w:ascii="Arial" w:hAnsi="Arial" w:cs="Arial"/>
          <w:b/>
          <w:bCs/>
        </w:rPr>
      </w:pPr>
      <w:r w:rsidRPr="00A025DA">
        <w:rPr>
          <w:rFonts w:ascii="Arial" w:hAnsi="Arial" w:cs="Arial"/>
          <w:b/>
          <w:bCs/>
        </w:rPr>
        <w:br w:type="page"/>
      </w:r>
    </w:p>
    <w:p w14:paraId="6A7E8943" w14:textId="6BC962E9" w:rsidR="008723FB" w:rsidRPr="00A025DA" w:rsidRDefault="002A48FB" w:rsidP="00A025DA">
      <w:pPr>
        <w:spacing w:before="260" w:after="120" w:line="480" w:lineRule="auto"/>
        <w:rPr>
          <w:rFonts w:ascii="Arial" w:hAnsi="Arial" w:cs="Arial"/>
        </w:rPr>
      </w:pPr>
      <w:r w:rsidRPr="00A025DA">
        <w:rPr>
          <w:rFonts w:ascii="Arial" w:hAnsi="Arial" w:cs="Arial"/>
          <w:b/>
          <w:bCs/>
        </w:rPr>
        <w:t>REFERENCES</w:t>
      </w:r>
    </w:p>
    <w:p w14:paraId="1364B47F"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 xml:space="preserve">Flynn SG, et al. Anesthetic Considerations for Cleft Lip and </w:t>
      </w:r>
      <w:r w:rsidRPr="00A025DA">
        <w:rPr>
          <w:rFonts w:ascii="Arial" w:hAnsi="Arial" w:cs="Arial"/>
        </w:rPr>
        <w:t>Palate Surgery. Ann Plast Surg, 2026.</w:t>
      </w:r>
    </w:p>
    <w:p w14:paraId="196D27DB"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Beiraghi S, et al. Cleft Lip and Palate: Association with Other Congenital Malformations. J Clin Pediatr Dent, 2009. 33(3): p. 207–210.</w:t>
      </w:r>
    </w:p>
    <w:p w14:paraId="0B9ECD7C"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Stoll C, Alembik Y, Roth MP. Co-occurring anomalies in congenital oral clefts. Am J Med Genet Part A, 2022. 188A: p. 1700–1715.</w:t>
      </w:r>
    </w:p>
    <w:p w14:paraId="663DC81D"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Kumar B, et al. Congenital cardiac anomalies in non-syndromic cleft lip and cleft palate patients: A systematic review and meta-analysis. Congenit Anom, 2024. 64(3): p. 143–154.</w:t>
      </w:r>
    </w:p>
    <w:p w14:paraId="6B32F7F8"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Kasatwar A, et al. Prevalence</w:t>
      </w:r>
      <w:r w:rsidRPr="00A025DA">
        <w:rPr>
          <w:rFonts w:ascii="Arial" w:hAnsi="Arial" w:cs="Arial"/>
        </w:rPr>
        <w:t xml:space="preserve"> of congenital cardiac anomalies in patients with cleft lip and palate – Its implications in surgical management. J Oral Biol Craniofac Res, 2018. 8(3): p. 241–244.</w:t>
      </w:r>
    </w:p>
    <w:p w14:paraId="1D5FD377"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Leite GCP, et al. Cardiovascular abnormalities in patients with oral cleft: a clinical-electrocardiographic-echocardiographic study. Clinics, 2018. 73: p. e108.</w:t>
      </w:r>
    </w:p>
    <w:p w14:paraId="00404524"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Toubat O, et al. Clinical Importance of Concomitant Cleft Lip/Palate in the Surgical Management of Patients With Congenital Heart Disease. World J Pediatr Congenit Heart Surg</w:t>
      </w:r>
      <w:r w:rsidRPr="00A025DA">
        <w:rPr>
          <w:rFonts w:ascii="Arial" w:hAnsi="Arial" w:cs="Arial"/>
        </w:rPr>
        <w:t>, 2021. 12(1): p. 35–42.</w:t>
      </w:r>
    </w:p>
    <w:p w14:paraId="3CA91F70"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Erinoso OA, et al. Congenital heart defects in orofacial cleft: A prospective cohort study. Afr J Paediatr Surg, 2021. 18(4): p. 219–223.</w:t>
      </w:r>
    </w:p>
    <w:p w14:paraId="3F27EFB8"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Edetanlen EB, et al. Prevalence and Associated Factors of Congenital Heart Disease in Cleft Lip and Palate Patients at the University of Benin Teaching Hospital. Niger Med J, 2023. 64(1): p. 54–60.</w:t>
      </w:r>
    </w:p>
    <w:p w14:paraId="7A243A82"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Nwaze CE, et al. Orofacial Clefts and Cardiovascular Risk and Diseases: The Causal Relationship and Associations. Ann Ib Postgrad Med</w:t>
      </w:r>
      <w:r w:rsidRPr="00A025DA">
        <w:rPr>
          <w:rFonts w:ascii="Arial" w:hAnsi="Arial" w:cs="Arial"/>
        </w:rPr>
        <w:t>, 2020. 18(1): p. S28–S34.</w:t>
      </w:r>
    </w:p>
    <w:p w14:paraId="5AE5972B"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Yamashita K, et al. General Anesthesia During Lip Repair and Palatoplasty After Glenn Surgery. Anesth Prog, 2020. 67(2): p. 107–108.</w:t>
      </w:r>
    </w:p>
    <w:p w14:paraId="34E535E5"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Pascal FNB, et al. Anaesthesia management for cleft lip in a child with unrepaired Tetralogy of Fallot in Malawi: a case report. Malawi Med J, 2022. 34(3): p. 201–203.</w:t>
      </w:r>
    </w:p>
    <w:p w14:paraId="585173E6"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 xml:space="preserve">Zhang C, Guo J, Chen S, Zhou Y, Zhu L. Summary of best evidence for enhanced recovery after surgery for perioperative management of pediatric cleft lip and palate surgery: a narrative </w:t>
      </w:r>
      <w:r w:rsidRPr="00A025DA">
        <w:rPr>
          <w:rFonts w:ascii="Arial" w:hAnsi="Arial" w:cs="Arial"/>
        </w:rPr>
        <w:t>review. Transl Pediatr, 2025. 14(8): p. 2009–2022.</w:t>
      </w:r>
    </w:p>
    <w:p w14:paraId="47D81300"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Esfahanian M, et al. Enhanced recovery after cleft palate repair: A quality improvement project. Paediatr Anaesth, 2022. 32: p. 1104–1112.</w:t>
      </w:r>
    </w:p>
    <w:p w14:paraId="475DB5AD"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Munabi NCO, Swanson J, Auslander A, Sanchez-Lara PA, Davidson Ward SL, Magee WP 3rd. The Prevalence of Congenital Heart Disease in Nonsyndromic Cleft Lip and/or Palate: A Systematic Review of the Literature. Ann Plast Surg, 2017. 79(2): p. 214–220.</w:t>
      </w:r>
    </w:p>
    <w:p w14:paraId="710F7D0B"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 xml:space="preserve">Tran L, et al. Anesthetic Considerations for Pediatric Patients with </w:t>
      </w:r>
      <w:r w:rsidRPr="00A025DA">
        <w:rPr>
          <w:rFonts w:ascii="Arial" w:hAnsi="Arial" w:cs="Arial"/>
        </w:rPr>
        <w:t>Craniofacial Anomalies: An Overview of Key Elements. Clin Plast Surg, 2025. 52(2): p. 113–127.</w:t>
      </w:r>
    </w:p>
    <w:p w14:paraId="7A3D0EF8"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Mohan VC, et al. Optimizing Perioperative Anesthesia Protocols for Global Delivery of Safe Cleft Surgery. 2025.</w:t>
      </w:r>
    </w:p>
    <w:p w14:paraId="13744997" w14:textId="77777777" w:rsidR="008723FB" w:rsidRPr="00A025DA" w:rsidRDefault="002A48FB" w:rsidP="00A025DA">
      <w:pPr>
        <w:pStyle w:val="ListParagraph"/>
        <w:numPr>
          <w:ilvl w:val="0"/>
          <w:numId w:val="3"/>
        </w:numPr>
        <w:spacing w:after="40" w:line="480" w:lineRule="auto"/>
        <w:rPr>
          <w:rFonts w:ascii="Arial" w:hAnsi="Arial" w:cs="Arial"/>
        </w:rPr>
      </w:pPr>
      <w:r w:rsidRPr="00A025DA">
        <w:rPr>
          <w:rFonts w:ascii="Arial" w:hAnsi="Arial" w:cs="Arial"/>
        </w:rPr>
        <w:t>Fujii N, Doi R, Narai T, Chiuriki N, Ikuta M, Kodani I. Clinical Characteristics of the Cleft Lip and/or Palate: Association with Congenital Anomalies, Syndromes, and Chromosomal Anomalies. Yonago Acta Med, 2023. 66(4): p. 440–447.</w:t>
      </w:r>
    </w:p>
    <w:sectPr w:rsidR="008723FB" w:rsidRPr="00A025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088D"/>
    <w:multiLevelType w:val="hybridMultilevel"/>
    <w:tmpl w:val="71AA21D8"/>
    <w:lvl w:ilvl="0" w:tplc="C590B002">
      <w:start w:val="1"/>
      <w:numFmt w:val="decimal"/>
      <w:lvlText w:val="%1."/>
      <w:lvlJc w:val="left"/>
      <w:pPr>
        <w:ind w:left="460" w:hanging="360"/>
      </w:pPr>
    </w:lvl>
    <w:lvl w:ilvl="1" w:tplc="CFBA9AD0">
      <w:numFmt w:val="decimal"/>
      <w:lvlText w:val=""/>
      <w:lvlJc w:val="left"/>
    </w:lvl>
    <w:lvl w:ilvl="2" w:tplc="89BA0D12">
      <w:numFmt w:val="decimal"/>
      <w:lvlText w:val=""/>
      <w:lvlJc w:val="left"/>
    </w:lvl>
    <w:lvl w:ilvl="3" w:tplc="A8A8C5FA">
      <w:numFmt w:val="decimal"/>
      <w:lvlText w:val=""/>
      <w:lvlJc w:val="left"/>
    </w:lvl>
    <w:lvl w:ilvl="4" w:tplc="81146706">
      <w:numFmt w:val="decimal"/>
      <w:lvlText w:val=""/>
      <w:lvlJc w:val="left"/>
    </w:lvl>
    <w:lvl w:ilvl="5" w:tplc="D80856D8">
      <w:numFmt w:val="decimal"/>
      <w:lvlText w:val=""/>
      <w:lvlJc w:val="left"/>
    </w:lvl>
    <w:lvl w:ilvl="6" w:tplc="11D2F85A">
      <w:numFmt w:val="decimal"/>
      <w:lvlText w:val=""/>
      <w:lvlJc w:val="left"/>
    </w:lvl>
    <w:lvl w:ilvl="7" w:tplc="55224B2A">
      <w:numFmt w:val="decimal"/>
      <w:lvlText w:val=""/>
      <w:lvlJc w:val="left"/>
    </w:lvl>
    <w:lvl w:ilvl="8" w:tplc="1032A7AA">
      <w:numFmt w:val="decimal"/>
      <w:lvlText w:val=""/>
      <w:lvlJc w:val="left"/>
    </w:lvl>
  </w:abstractNum>
  <w:abstractNum w:abstractNumId="1" w15:restartNumberingAfterBreak="0">
    <w:nsid w:val="0857269C"/>
    <w:multiLevelType w:val="hybridMultilevel"/>
    <w:tmpl w:val="BA8890BC"/>
    <w:lvl w:ilvl="0" w:tplc="1CBCB642">
      <w:start w:val="1"/>
      <w:numFmt w:val="bullet"/>
      <w:lvlText w:val="•"/>
      <w:lvlJc w:val="left"/>
      <w:pPr>
        <w:ind w:left="460" w:hanging="260"/>
      </w:pPr>
    </w:lvl>
    <w:lvl w:ilvl="1" w:tplc="93AA6F0A">
      <w:numFmt w:val="decimal"/>
      <w:lvlText w:val=""/>
      <w:lvlJc w:val="left"/>
    </w:lvl>
    <w:lvl w:ilvl="2" w:tplc="31DC34D4">
      <w:numFmt w:val="decimal"/>
      <w:lvlText w:val=""/>
      <w:lvlJc w:val="left"/>
    </w:lvl>
    <w:lvl w:ilvl="3" w:tplc="391C6FAA">
      <w:numFmt w:val="decimal"/>
      <w:lvlText w:val=""/>
      <w:lvlJc w:val="left"/>
    </w:lvl>
    <w:lvl w:ilvl="4" w:tplc="643CD0D4">
      <w:numFmt w:val="decimal"/>
      <w:lvlText w:val=""/>
      <w:lvlJc w:val="left"/>
    </w:lvl>
    <w:lvl w:ilvl="5" w:tplc="E49CBBF6">
      <w:numFmt w:val="decimal"/>
      <w:lvlText w:val=""/>
      <w:lvlJc w:val="left"/>
    </w:lvl>
    <w:lvl w:ilvl="6" w:tplc="6322A6E0">
      <w:numFmt w:val="decimal"/>
      <w:lvlText w:val=""/>
      <w:lvlJc w:val="left"/>
    </w:lvl>
    <w:lvl w:ilvl="7" w:tplc="7018A812">
      <w:numFmt w:val="decimal"/>
      <w:lvlText w:val=""/>
      <w:lvlJc w:val="left"/>
    </w:lvl>
    <w:lvl w:ilvl="8" w:tplc="463239E4">
      <w:numFmt w:val="decimal"/>
      <w:lvlText w:val=""/>
      <w:lvlJc w:val="left"/>
    </w:lvl>
  </w:abstractNum>
  <w:abstractNum w:abstractNumId="2" w15:restartNumberingAfterBreak="0">
    <w:nsid w:val="1F966972"/>
    <w:multiLevelType w:val="hybridMultilevel"/>
    <w:tmpl w:val="7F2C1A34"/>
    <w:lvl w:ilvl="0" w:tplc="C32859F8">
      <w:start w:val="1"/>
      <w:numFmt w:val="bullet"/>
      <w:lvlText w:val="●"/>
      <w:lvlJc w:val="left"/>
      <w:pPr>
        <w:ind w:left="720" w:hanging="360"/>
      </w:pPr>
    </w:lvl>
    <w:lvl w:ilvl="1" w:tplc="E806ED8C">
      <w:start w:val="1"/>
      <w:numFmt w:val="bullet"/>
      <w:lvlText w:val="○"/>
      <w:lvlJc w:val="left"/>
      <w:pPr>
        <w:ind w:left="1440" w:hanging="360"/>
      </w:pPr>
    </w:lvl>
    <w:lvl w:ilvl="2" w:tplc="A5F8BEF6">
      <w:start w:val="1"/>
      <w:numFmt w:val="bullet"/>
      <w:lvlText w:val="■"/>
      <w:lvlJc w:val="left"/>
      <w:pPr>
        <w:ind w:left="2160" w:hanging="360"/>
      </w:pPr>
    </w:lvl>
    <w:lvl w:ilvl="3" w:tplc="93FC9068">
      <w:start w:val="1"/>
      <w:numFmt w:val="bullet"/>
      <w:lvlText w:val="●"/>
      <w:lvlJc w:val="left"/>
      <w:pPr>
        <w:ind w:left="2880" w:hanging="360"/>
      </w:pPr>
    </w:lvl>
    <w:lvl w:ilvl="4" w:tplc="70A6E8AA">
      <w:start w:val="1"/>
      <w:numFmt w:val="bullet"/>
      <w:lvlText w:val="○"/>
      <w:lvlJc w:val="left"/>
      <w:pPr>
        <w:ind w:left="3600" w:hanging="360"/>
      </w:pPr>
    </w:lvl>
    <w:lvl w:ilvl="5" w:tplc="51768096">
      <w:start w:val="1"/>
      <w:numFmt w:val="bullet"/>
      <w:lvlText w:val="■"/>
      <w:lvlJc w:val="left"/>
      <w:pPr>
        <w:ind w:left="4320" w:hanging="360"/>
      </w:pPr>
    </w:lvl>
    <w:lvl w:ilvl="6" w:tplc="9070BD76">
      <w:start w:val="1"/>
      <w:numFmt w:val="bullet"/>
      <w:lvlText w:val="●"/>
      <w:lvlJc w:val="left"/>
      <w:pPr>
        <w:ind w:left="5040" w:hanging="360"/>
      </w:pPr>
    </w:lvl>
    <w:lvl w:ilvl="7" w:tplc="ECE83EBE">
      <w:start w:val="1"/>
      <w:numFmt w:val="bullet"/>
      <w:lvlText w:val="●"/>
      <w:lvlJc w:val="left"/>
      <w:pPr>
        <w:ind w:left="5760" w:hanging="360"/>
      </w:pPr>
    </w:lvl>
    <w:lvl w:ilvl="8" w:tplc="6518A714">
      <w:start w:val="1"/>
      <w:numFmt w:val="bullet"/>
      <w:lvlText w:val="●"/>
      <w:lvlJc w:val="left"/>
      <w:pPr>
        <w:ind w:left="6480" w:hanging="360"/>
      </w:pPr>
    </w:lvl>
  </w:abstractNum>
  <w:num w:numId="1" w16cid:durableId="1818298016">
    <w:abstractNumId w:val="2"/>
    <w:lvlOverride w:ilvl="0">
      <w:startOverride w:val="1"/>
    </w:lvlOverride>
  </w:num>
  <w:num w:numId="2" w16cid:durableId="1541429789">
    <w:abstractNumId w:val="1"/>
    <w:lvlOverride w:ilvl="0">
      <w:startOverride w:val="1"/>
    </w:lvlOverride>
  </w:num>
  <w:num w:numId="3" w16cid:durableId="1388188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3FB"/>
    <w:rsid w:val="002A48FB"/>
    <w:rsid w:val="00865784"/>
    <w:rsid w:val="008723FB"/>
    <w:rsid w:val="00A025DA"/>
    <w:rsid w:val="00A11BD3"/>
    <w:rsid w:val="00A366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C272"/>
  <w15:docId w15:val="{3FC9CE63-C536-4B5B-BBC8-E8EF3D09F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2490</Words>
  <Characters>14195</Characters>
  <Application>Microsoft Office Word</Application>
  <DocSecurity>0</DocSecurity>
  <Lines>118</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gökhan yaşar</cp:lastModifiedBy>
  <cp:revision>2</cp:revision>
  <dcterms:created xsi:type="dcterms:W3CDTF">2026-07-07T09:19:00Z</dcterms:created>
  <dcterms:modified xsi:type="dcterms:W3CDTF">2026-07-07T09:19:00Z</dcterms:modified>
</cp:coreProperties>
</file>