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8888" w14:textId="77777777" w:rsidR="00EF44A7" w:rsidRDefault="00EF44A7" w:rsidP="00C5766E">
      <w:pPr>
        <w:pStyle w:val="ListParagraph"/>
        <w:spacing w:line="360" w:lineRule="auto"/>
        <w:ind w:left="0"/>
        <w:jc w:val="both"/>
        <w:rPr>
          <w:rFonts w:ascii="Times New Roman" w:hAnsi="Times New Roman"/>
          <w:b/>
        </w:rPr>
      </w:pPr>
    </w:p>
    <w:p w14:paraId="5FC3CE3B" w14:textId="77777777" w:rsidR="00D25E84"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Target-Controlled versus Manual-Controlled Infusion in Minimally Invasive Cardiac Surgery: </w:t>
      </w:r>
    </w:p>
    <w:p w14:paraId="3D071AE4" w14:textId="4F4D33AA" w:rsidR="00951798"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A Retrospective Cohort Study on Hemodynamic Volatility, Extubation Time, and Postoperative Heart Blocks</w:t>
      </w:r>
    </w:p>
    <w:p w14:paraId="210624F7" w14:textId="70A31FC7" w:rsidR="00EF44A7" w:rsidRPr="0019293E" w:rsidRDefault="00EF44A7" w:rsidP="00EF44A7">
      <w:pPr>
        <w:spacing w:line="360" w:lineRule="auto"/>
        <w:jc w:val="center"/>
        <w:rPr>
          <w:rFonts w:ascii="Times New Roman" w:hAnsi="Times New Roman"/>
          <w:b/>
          <w:bCs/>
          <w:color w:val="000000"/>
          <w:kern w:val="36"/>
          <w:sz w:val="28"/>
          <w:szCs w:val="28"/>
          <w:lang w:eastAsia="tr-TR"/>
        </w:rPr>
      </w:pPr>
      <w:r>
        <w:rPr>
          <w:rFonts w:ascii="Times New Roman" w:hAnsi="Times New Roman"/>
          <w:b/>
          <w:bCs/>
          <w:color w:val="000000"/>
          <w:kern w:val="36"/>
          <w:sz w:val="28"/>
          <w:szCs w:val="28"/>
          <w:lang w:eastAsia="tr-TR"/>
        </w:rPr>
        <w:t>Original Article</w:t>
      </w:r>
    </w:p>
    <w:p w14:paraId="30EAF3F6" w14:textId="1FC96CE8" w:rsidR="00EF44A7" w:rsidRPr="00247887" w:rsidRDefault="00EF44A7" w:rsidP="00247887">
      <w:pPr>
        <w:spacing w:line="360" w:lineRule="auto"/>
        <w:jc w:val="center"/>
        <w:rPr>
          <w:rFonts w:ascii="Times New Roman" w:hAnsi="Times New Roman"/>
          <w:b/>
          <w:i/>
          <w:sz w:val="24"/>
          <w:szCs w:val="24"/>
        </w:rPr>
      </w:pPr>
      <w:r>
        <w:rPr>
          <w:rFonts w:ascii="Times New Roman" w:hAnsi="Times New Roman"/>
          <w:b/>
          <w:i/>
          <w:sz w:val="24"/>
          <w:szCs w:val="24"/>
        </w:rPr>
        <w:t>Pınar Özdemir Yaşar</w:t>
      </w:r>
      <w:r w:rsidRPr="00A948B7">
        <w:rPr>
          <w:rFonts w:ascii="Times New Roman" w:hAnsi="Times New Roman"/>
          <w:b/>
          <w:i/>
          <w:sz w:val="24"/>
          <w:szCs w:val="24"/>
          <w:vertAlign w:val="superscript"/>
        </w:rPr>
        <w:t>1</w:t>
      </w:r>
      <w:r>
        <w:rPr>
          <w:rFonts w:ascii="Times New Roman" w:hAnsi="Times New Roman"/>
          <w:b/>
          <w:i/>
          <w:sz w:val="24"/>
          <w:szCs w:val="24"/>
        </w:rPr>
        <w:t>,</w:t>
      </w:r>
      <w:r w:rsidRPr="0019293E">
        <w:rPr>
          <w:rFonts w:ascii="Times New Roman" w:hAnsi="Times New Roman"/>
          <w:b/>
          <w:i/>
          <w:sz w:val="24"/>
          <w:szCs w:val="24"/>
        </w:rPr>
        <w:t xml:space="preserve"> </w:t>
      </w:r>
      <w:r w:rsidR="00951798">
        <w:rPr>
          <w:rFonts w:ascii="Times New Roman" w:hAnsi="Times New Roman"/>
          <w:b/>
          <w:i/>
          <w:sz w:val="24"/>
          <w:szCs w:val="24"/>
        </w:rPr>
        <w:t>Başak Akça</w:t>
      </w:r>
      <w:r w:rsidR="00446304" w:rsidRPr="00A948B7">
        <w:rPr>
          <w:rFonts w:ascii="Times New Roman" w:hAnsi="Times New Roman"/>
          <w:b/>
          <w:i/>
          <w:sz w:val="24"/>
          <w:szCs w:val="24"/>
          <w:vertAlign w:val="superscript"/>
        </w:rPr>
        <w:t>1</w:t>
      </w:r>
      <w:r w:rsidR="00CD68D4">
        <w:rPr>
          <w:rFonts w:ascii="Times New Roman" w:hAnsi="Times New Roman"/>
          <w:b/>
          <w:i/>
          <w:sz w:val="24"/>
          <w:szCs w:val="24"/>
        </w:rPr>
        <w:t xml:space="preserve"> ,</w:t>
      </w:r>
      <w:r w:rsidR="00247887">
        <w:rPr>
          <w:rFonts w:ascii="Times New Roman" w:hAnsi="Times New Roman"/>
          <w:b/>
          <w:i/>
          <w:sz w:val="24"/>
          <w:szCs w:val="24"/>
        </w:rPr>
        <w:t>Mustafa Yılmaz</w:t>
      </w:r>
      <w:r w:rsidR="00247887">
        <w:rPr>
          <w:rFonts w:ascii="Times New Roman" w:hAnsi="Times New Roman"/>
          <w:b/>
          <w:i/>
          <w:sz w:val="24"/>
          <w:szCs w:val="24"/>
          <w:vertAlign w:val="superscript"/>
        </w:rPr>
        <w:t>2</w:t>
      </w:r>
    </w:p>
    <w:p w14:paraId="409DE6AE" w14:textId="77777777" w:rsidR="00EF44A7"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r w:rsidRPr="00A77E9D">
        <w:rPr>
          <w:rFonts w:ascii="Times New Roman" w:hAnsi="Times New Roman"/>
          <w:bCs/>
        </w:rPr>
        <w:t>Department of Anesthesiology and Reanimation, Hacettepe University School of Medicine, Ankara, TURKEY.</w:t>
      </w:r>
    </w:p>
    <w:p w14:paraId="04A7718A" w14:textId="1F8135E4" w:rsidR="00EF44A7" w:rsidRPr="00A77E9D"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r>
        <w:rPr>
          <w:rFonts w:ascii="Times New Roman" w:hAnsi="Times New Roman"/>
          <w:bCs/>
        </w:rPr>
        <w:t xml:space="preserve">Department of </w:t>
      </w:r>
      <w:r w:rsidR="00703CFD">
        <w:rPr>
          <w:rFonts w:ascii="Times New Roman" w:hAnsi="Times New Roman"/>
          <w:bCs/>
        </w:rPr>
        <w:t>Cardiovascular Surgery</w:t>
      </w:r>
      <w:r>
        <w:rPr>
          <w:rFonts w:ascii="Times New Roman" w:hAnsi="Times New Roman"/>
          <w:bCs/>
        </w:rPr>
        <w:t>, Hacettepe University School of Medicine, Ankara,TURKEY</w:t>
      </w:r>
    </w:p>
    <w:p w14:paraId="26BB63D2"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DF13AF7" w14:textId="6354E8D1" w:rsidR="00EF44A7" w:rsidRPr="00A948B7" w:rsidRDefault="00EF44A7" w:rsidP="001321F1">
      <w:pPr>
        <w:autoSpaceDE w:val="0"/>
        <w:autoSpaceDN w:val="0"/>
        <w:adjustRightInd w:val="0"/>
        <w:spacing w:after="0" w:line="360" w:lineRule="auto"/>
        <w:rPr>
          <w:rFonts w:ascii="Times New Roman" w:hAnsi="Times New Roman"/>
          <w:bCs/>
          <w:sz w:val="24"/>
          <w:szCs w:val="24"/>
        </w:rPr>
      </w:pPr>
      <w:r w:rsidRPr="0019293E">
        <w:rPr>
          <w:rFonts w:ascii="Times New Roman" w:hAnsi="Times New Roman"/>
          <w:bCs/>
          <w:sz w:val="24"/>
          <w:szCs w:val="24"/>
        </w:rPr>
        <w:t xml:space="preserve">Running Title: </w:t>
      </w:r>
      <w:r w:rsidR="00247887" w:rsidRPr="00247887">
        <w:rPr>
          <w:rFonts w:ascii="Times New Roman" w:hAnsi="Times New Roman"/>
          <w:sz w:val="24"/>
          <w:szCs w:val="24"/>
        </w:rPr>
        <w:t>TCI vs MCI in Minimally Invasive Cardiac Surgery</w:t>
      </w:r>
    </w:p>
    <w:p w14:paraId="2A70011B"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A32A983" w14:textId="77777777" w:rsidR="00FD739B" w:rsidRPr="0019293E" w:rsidRDefault="00FD739B" w:rsidP="00FD739B">
      <w:pPr>
        <w:autoSpaceDE w:val="0"/>
        <w:autoSpaceDN w:val="0"/>
        <w:adjustRightInd w:val="0"/>
        <w:spacing w:after="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Corresponding Author</w:t>
      </w:r>
    </w:p>
    <w:p w14:paraId="049E05A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Name:    </w:t>
      </w:r>
      <w:r>
        <w:rPr>
          <w:rFonts w:ascii="Times New Roman" w:eastAsia="Times New Roman" w:hAnsi="Times New Roman"/>
          <w:b/>
          <w:bCs/>
          <w:sz w:val="24"/>
          <w:szCs w:val="24"/>
          <w:lang w:eastAsia="tr-TR"/>
        </w:rPr>
        <w:t>Dr. Pınar ÖZDEMİR YAŞAR</w:t>
      </w:r>
    </w:p>
    <w:p w14:paraId="3D4C4D5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Address: Hacettepe University Faculty of Medicine Department of Anesthesiology,</w:t>
      </w:r>
    </w:p>
    <w:p w14:paraId="33408CE7"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                       Sıhhi</w:t>
      </w:r>
      <w:r>
        <w:rPr>
          <w:rFonts w:ascii="Times New Roman" w:eastAsia="Times New Roman" w:hAnsi="Times New Roman"/>
          <w:b/>
          <w:bCs/>
          <w:sz w:val="24"/>
          <w:szCs w:val="24"/>
          <w:lang w:eastAsia="tr-TR"/>
        </w:rPr>
        <w:t>ye, Ankara, 06100, TURKEY</w:t>
      </w:r>
    </w:p>
    <w:p w14:paraId="4E6A4286" w14:textId="77777777" w:rsidR="00FD739B" w:rsidRPr="0019293E" w:rsidRDefault="00FD739B" w:rsidP="00FD739B">
      <w:pPr>
        <w:spacing w:before="120" w:after="120" w:line="360" w:lineRule="auto"/>
        <w:ind w:left="708" w:firstLine="708"/>
        <w:jc w:val="both"/>
        <w:rPr>
          <w:rFonts w:ascii="Times New Roman" w:eastAsia="Times New Roman" w:hAnsi="Times New Roman"/>
          <w:b/>
          <w:bCs/>
          <w:sz w:val="24"/>
          <w:szCs w:val="24"/>
          <w:lang w:eastAsia="tr-TR"/>
        </w:rPr>
      </w:pPr>
    </w:p>
    <w:p w14:paraId="5D86E8E4"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Phone: +903123051255</w:t>
      </w:r>
      <w:r w:rsidRPr="0019293E">
        <w:rPr>
          <w:rFonts w:ascii="Times New Roman" w:eastAsia="Times New Roman" w:hAnsi="Times New Roman"/>
          <w:b/>
          <w:bCs/>
          <w:sz w:val="24"/>
          <w:szCs w:val="24"/>
          <w:lang w:eastAsia="tr-TR"/>
        </w:rPr>
        <w:tab/>
      </w:r>
    </w:p>
    <w:p w14:paraId="1BA16758"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Fax:</w:t>
      </w:r>
      <w:r w:rsidRPr="0019293E">
        <w:rPr>
          <w:rFonts w:ascii="Times New Roman" w:eastAsia="Times New Roman" w:hAnsi="Times New Roman"/>
          <w:b/>
          <w:bCs/>
          <w:sz w:val="24"/>
          <w:szCs w:val="24"/>
          <w:lang w:eastAsia="tr-TR"/>
        </w:rPr>
        <w:tab/>
        <w:t>+903123109600</w:t>
      </w:r>
      <w:r w:rsidRPr="0019293E">
        <w:rPr>
          <w:rFonts w:ascii="Times New Roman" w:eastAsia="Times New Roman" w:hAnsi="Times New Roman"/>
          <w:b/>
          <w:bCs/>
          <w:sz w:val="24"/>
          <w:szCs w:val="24"/>
          <w:lang w:eastAsia="tr-TR"/>
        </w:rPr>
        <w:tab/>
      </w:r>
    </w:p>
    <w:p w14:paraId="1A065FC1"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val="de-LI" w:eastAsia="tr-TR"/>
        </w:rPr>
      </w:pPr>
      <w:r w:rsidRPr="0019293E">
        <w:rPr>
          <w:rFonts w:ascii="Times New Roman" w:eastAsia="Times New Roman" w:hAnsi="Times New Roman"/>
          <w:b/>
          <w:bCs/>
          <w:sz w:val="24"/>
          <w:szCs w:val="24"/>
          <w:lang w:val="de-LI" w:eastAsia="tr-TR"/>
        </w:rPr>
        <w:t xml:space="preserve">E-Mail: </w:t>
      </w:r>
      <w:r>
        <w:rPr>
          <w:rFonts w:ascii="Times New Roman" w:eastAsia="Times New Roman" w:hAnsi="Times New Roman"/>
          <w:b/>
          <w:bCs/>
          <w:sz w:val="24"/>
          <w:szCs w:val="24"/>
          <w:lang w:val="de-LI" w:eastAsia="tr-TR"/>
        </w:rPr>
        <w:t>pozdemiryasar@gmail.com</w:t>
      </w:r>
    </w:p>
    <w:p w14:paraId="4DE580B0" w14:textId="77777777" w:rsidR="00EF44A7" w:rsidRDefault="00EF44A7" w:rsidP="00C5766E">
      <w:pPr>
        <w:pStyle w:val="ListParagraph"/>
        <w:spacing w:line="360" w:lineRule="auto"/>
        <w:ind w:left="0"/>
        <w:jc w:val="both"/>
        <w:rPr>
          <w:rFonts w:ascii="Times New Roman" w:hAnsi="Times New Roman"/>
          <w:b/>
        </w:rPr>
      </w:pPr>
    </w:p>
    <w:p w14:paraId="63F9544F" w14:textId="77777777" w:rsidR="00EF44A7" w:rsidRDefault="00EF44A7" w:rsidP="00C5766E">
      <w:pPr>
        <w:pStyle w:val="ListParagraph"/>
        <w:spacing w:line="360" w:lineRule="auto"/>
        <w:ind w:left="0"/>
        <w:jc w:val="both"/>
        <w:rPr>
          <w:rFonts w:ascii="Times New Roman" w:hAnsi="Times New Roman"/>
          <w:b/>
        </w:rPr>
      </w:pPr>
    </w:p>
    <w:p w14:paraId="5BB29BC9" w14:textId="77777777" w:rsidR="00EF44A7" w:rsidRDefault="00EF44A7" w:rsidP="00C5766E">
      <w:pPr>
        <w:pStyle w:val="ListParagraph"/>
        <w:spacing w:line="360" w:lineRule="auto"/>
        <w:ind w:left="0"/>
        <w:jc w:val="both"/>
        <w:rPr>
          <w:rFonts w:ascii="Times New Roman" w:hAnsi="Times New Roman"/>
          <w:b/>
        </w:rPr>
      </w:pPr>
    </w:p>
    <w:p w14:paraId="5D277EDE" w14:textId="77777777" w:rsidR="00EF44A7" w:rsidRDefault="00EF44A7" w:rsidP="00C5766E">
      <w:pPr>
        <w:pStyle w:val="ListParagraph"/>
        <w:spacing w:line="360" w:lineRule="auto"/>
        <w:ind w:left="0"/>
        <w:jc w:val="both"/>
        <w:rPr>
          <w:rFonts w:ascii="Times New Roman" w:hAnsi="Times New Roman"/>
          <w:b/>
        </w:rPr>
      </w:pPr>
    </w:p>
    <w:p w14:paraId="2C7E81DE" w14:textId="77777777" w:rsidR="00244A77" w:rsidRPr="00FA188E" w:rsidRDefault="00244A77" w:rsidP="00244A77">
      <w:pPr>
        <w:spacing w:line="360" w:lineRule="auto"/>
        <w:jc w:val="both"/>
        <w:rPr>
          <w:rFonts w:ascii="Times New Roman" w:hAnsi="Times New Roman"/>
          <w:b/>
          <w:bCs/>
          <w:sz w:val="24"/>
          <w:szCs w:val="24"/>
          <w:lang/>
        </w:rPr>
      </w:pPr>
      <w:r w:rsidRPr="00FA188E">
        <w:rPr>
          <w:rFonts w:ascii="Times New Roman" w:hAnsi="Times New Roman"/>
          <w:b/>
          <w:bCs/>
          <w:sz w:val="24"/>
          <w:szCs w:val="24"/>
          <w:lang/>
        </w:rPr>
        <w:t>ABSTRACT</w:t>
      </w:r>
    </w:p>
    <w:p w14:paraId="0C48E40A" w14:textId="77777777" w:rsidR="00244A77" w:rsidRPr="00FA188E" w:rsidRDefault="00244A77" w:rsidP="00244A77">
      <w:pPr>
        <w:spacing w:line="360" w:lineRule="auto"/>
        <w:jc w:val="both"/>
        <w:rPr>
          <w:rFonts w:ascii="Times New Roman" w:hAnsi="Times New Roman"/>
          <w:sz w:val="24"/>
          <w:szCs w:val="24"/>
          <w:lang/>
        </w:rPr>
      </w:pPr>
      <w:r w:rsidRPr="00FA188E">
        <w:rPr>
          <w:rFonts w:ascii="Times New Roman" w:hAnsi="Times New Roman"/>
          <w:b/>
          <w:bCs/>
          <w:sz w:val="24"/>
          <w:szCs w:val="24"/>
          <w:lang/>
        </w:rPr>
        <w:t>Background:</w:t>
      </w:r>
      <w:r w:rsidRPr="00FA188E">
        <w:rPr>
          <w:rFonts w:ascii="Times New Roman" w:hAnsi="Times New Roman"/>
          <w:sz w:val="24"/>
          <w:szCs w:val="24"/>
          <w:lang/>
        </w:rPr>
        <w:t> Minimally invasive cardiac surgery (MICS) demands meticulous anesthetic titration to accommodate single-lung ventilation and peripheral cardiopulmonary bypass (CPB). We evaluated our single-center experience comparing next-generation Eleveld model-driven Target-Controlled Infusion (TCI) with conventional manual-controlled total intravenous anesthesia (TIVA), focusing on intraoperative hemodynamics, extubation kinetics, intensive care unit (ICU) length of stay (LOS), and postoperative heart blocks.</w:t>
      </w:r>
    </w:p>
    <w:p w14:paraId="6361048F" w14:textId="77777777" w:rsidR="00244A77" w:rsidRPr="00FA188E" w:rsidRDefault="00244A77" w:rsidP="00244A77">
      <w:pPr>
        <w:spacing w:line="360" w:lineRule="auto"/>
        <w:jc w:val="both"/>
        <w:rPr>
          <w:rFonts w:ascii="Times New Roman" w:hAnsi="Times New Roman"/>
          <w:sz w:val="24"/>
          <w:szCs w:val="24"/>
          <w:lang/>
        </w:rPr>
      </w:pPr>
      <w:r w:rsidRPr="00FA188E">
        <w:rPr>
          <w:rFonts w:ascii="Times New Roman" w:hAnsi="Times New Roman"/>
          <w:b/>
          <w:bCs/>
          <w:sz w:val="24"/>
          <w:szCs w:val="24"/>
          <w:lang/>
        </w:rPr>
        <w:t>Methods:</w:t>
      </w:r>
      <w:r w:rsidRPr="00FA188E">
        <w:rPr>
          <w:rFonts w:ascii="Times New Roman" w:hAnsi="Times New Roman"/>
          <w:sz w:val="24"/>
          <w:szCs w:val="24"/>
          <w:lang/>
        </w:rPr>
        <w:t> This retrospective observational study analyzed 65 adult patients who underwent elective MICS via mini-thoracotomy between January 2020 and July 2025 (TCI, n=18; TIVA, n=47). Propofol and remifentanil were delivered via Eleveld PK/PD models (TCI) or empirical weight-based tracks (TIVA) under continuous processed EEG monitoring. Intraoperative mean arterial pressure (MAP) variability indices (ARV, VIM) and hypotension burden (AUC for MAP &lt;65 mmHg) were derived. Multiple comparisons were controlled using the Benjamini–Hochberg false discovery rate (FDR) procedure.</w:t>
      </w:r>
    </w:p>
    <w:p w14:paraId="1BF8D33E" w14:textId="77777777" w:rsidR="00244A77" w:rsidRPr="00FA188E" w:rsidRDefault="00244A77" w:rsidP="00244A77">
      <w:pPr>
        <w:spacing w:line="360" w:lineRule="auto"/>
        <w:jc w:val="both"/>
        <w:rPr>
          <w:rFonts w:ascii="Times New Roman" w:hAnsi="Times New Roman"/>
          <w:sz w:val="24"/>
          <w:szCs w:val="24"/>
          <w:lang/>
        </w:rPr>
      </w:pPr>
      <w:r w:rsidRPr="00FA188E">
        <w:rPr>
          <w:rFonts w:ascii="Times New Roman" w:hAnsi="Times New Roman"/>
          <w:b/>
          <w:bCs/>
          <w:sz w:val="24"/>
          <w:szCs w:val="24"/>
          <w:lang/>
        </w:rPr>
        <w:t>Results:</w:t>
      </w:r>
      <w:r w:rsidRPr="00FA188E">
        <w:rPr>
          <w:rFonts w:ascii="Times New Roman" w:hAnsi="Times New Roman"/>
          <w:sz w:val="24"/>
          <w:szCs w:val="24"/>
          <w:lang/>
        </w:rPr>
        <w:t xml:space="preserve"> Eleveld-driven TCI was associated with a suggestive reduction in </w:t>
      </w:r>
      <w:r w:rsidRPr="00262D4C">
        <w:rPr>
          <w:rFonts w:ascii="Times New Roman" w:hAnsi="Times New Roman"/>
          <w:sz w:val="24"/>
          <w:szCs w:val="24"/>
          <w:highlight w:val="yellow"/>
          <w:lang/>
        </w:rPr>
        <w:t>pre-CPB hypotension</w:t>
      </w:r>
      <w:r w:rsidRPr="00FA188E">
        <w:rPr>
          <w:rFonts w:ascii="Times New Roman" w:hAnsi="Times New Roman"/>
          <w:sz w:val="24"/>
          <w:szCs w:val="24"/>
          <w:lang/>
        </w:rPr>
        <w:t xml:space="preserve"> incidence (16.7% vs. 44.7%, p=0.046; p_FDR=0.121). </w:t>
      </w:r>
      <w:r w:rsidRPr="00262D4C">
        <w:rPr>
          <w:rFonts w:ascii="Times New Roman" w:hAnsi="Times New Roman"/>
          <w:sz w:val="24"/>
          <w:szCs w:val="24"/>
          <w:highlight w:val="yellow"/>
          <w:lang/>
        </w:rPr>
        <w:t>In the post-CPB phase, the TCI cohort exhibited a significantly more dynamic hemodynamic profile, characterized by higher mean heart rates (88.0 vs. 80.0 bpm, p_FDR=0.002) and lower central venous pressures (12.7 vs. 17.8 mmHg, p_FDR=0.002), correlating with a two-fold reduction in intraoperative crystalloid fluid requirements (1,000 vs. 2,000 mL, p&lt;0.001).</w:t>
      </w:r>
      <w:r w:rsidRPr="00FA188E">
        <w:rPr>
          <w:rFonts w:ascii="Times New Roman" w:hAnsi="Times New Roman"/>
          <w:sz w:val="24"/>
          <w:szCs w:val="24"/>
          <w:lang/>
        </w:rPr>
        <w:t xml:space="preserve"> </w:t>
      </w:r>
      <w:r w:rsidRPr="00262D4C">
        <w:rPr>
          <w:rFonts w:ascii="Times New Roman" w:hAnsi="Times New Roman"/>
          <w:sz w:val="24"/>
          <w:szCs w:val="24"/>
          <w:highlight w:val="yellow"/>
          <w:lang/>
        </w:rPr>
        <w:t>Following multivariable adjustment, TCI remained a strong independent predictor of faster recovery, demonstrating a 35.5% reduction in time to safe extubation (median 188 vs. 300 min, p=0.008).</w:t>
      </w:r>
      <w:r w:rsidRPr="00FA188E">
        <w:rPr>
          <w:rFonts w:ascii="Times New Roman" w:hAnsi="Times New Roman"/>
          <w:sz w:val="24"/>
          <w:szCs w:val="24"/>
          <w:lang/>
        </w:rPr>
        <w:t xml:space="preserve"> </w:t>
      </w:r>
      <w:r w:rsidRPr="00262D4C">
        <w:rPr>
          <w:rFonts w:ascii="Times New Roman" w:hAnsi="Times New Roman"/>
          <w:sz w:val="24"/>
          <w:szCs w:val="24"/>
          <w:highlight w:val="green"/>
          <w:lang/>
        </w:rPr>
        <w:t>Notably, new-onset postoperative heart block or temporary pacing requirements were significantly lower in the TCI group (1 vs. 19 events, Fisher's exact p=0.007). Unadjusted ICU LOS was shorter under TCI (22.8 vs. 26.0 h, p=0.042) but lost independent significance after adjustment for CPB duration.</w:t>
      </w:r>
    </w:p>
    <w:p w14:paraId="33CCBD94" w14:textId="77777777" w:rsidR="00244A77" w:rsidRPr="00FA188E" w:rsidRDefault="00244A77" w:rsidP="00244A77">
      <w:pPr>
        <w:spacing w:line="360" w:lineRule="auto"/>
        <w:jc w:val="both"/>
        <w:rPr>
          <w:rFonts w:ascii="Times New Roman" w:hAnsi="Times New Roman"/>
          <w:sz w:val="24"/>
          <w:szCs w:val="24"/>
          <w:lang/>
        </w:rPr>
      </w:pPr>
      <w:r w:rsidRPr="00FA188E">
        <w:rPr>
          <w:rFonts w:ascii="Times New Roman" w:hAnsi="Times New Roman"/>
          <w:b/>
          <w:bCs/>
          <w:sz w:val="24"/>
          <w:szCs w:val="24"/>
          <w:lang/>
        </w:rPr>
        <w:t>Conclusions:</w:t>
      </w:r>
      <w:r w:rsidRPr="00FA188E">
        <w:rPr>
          <w:rFonts w:ascii="Times New Roman" w:hAnsi="Times New Roman"/>
          <w:sz w:val="24"/>
          <w:szCs w:val="24"/>
          <w:lang/>
        </w:rPr>
        <w:t> Next-generation Eleveld model-driven TCI provides a highly stable and optimized perioperative profile in adult MICS, facilitating significantly accelerated ultra-fast-track extubation kinetics, limiting fluid overload, and demonstrating a compelling protective trend against postoperative cardiac conduction blocks.</w:t>
      </w:r>
    </w:p>
    <w:p w14:paraId="50919841" w14:textId="77777777" w:rsidR="00244A77" w:rsidRPr="00FA188E" w:rsidRDefault="00244A77" w:rsidP="00244A77">
      <w:pPr>
        <w:spacing w:line="360" w:lineRule="auto"/>
        <w:jc w:val="both"/>
        <w:rPr>
          <w:rFonts w:ascii="Times New Roman" w:hAnsi="Times New Roman"/>
          <w:sz w:val="24"/>
          <w:szCs w:val="24"/>
          <w:lang/>
        </w:rPr>
      </w:pPr>
      <w:r w:rsidRPr="00FA188E">
        <w:rPr>
          <w:rFonts w:ascii="Times New Roman" w:hAnsi="Times New Roman"/>
          <w:b/>
          <w:bCs/>
          <w:sz w:val="24"/>
          <w:szCs w:val="24"/>
          <w:lang/>
        </w:rPr>
        <w:t>Keywords:</w:t>
      </w:r>
      <w:r w:rsidRPr="00FA188E">
        <w:rPr>
          <w:rFonts w:ascii="Times New Roman" w:hAnsi="Times New Roman"/>
          <w:sz w:val="24"/>
          <w:szCs w:val="24"/>
          <w:lang/>
        </w:rPr>
        <w:t> Target-controlled infusion; Eleveld model; Minimally invasive cardiac surgery; Postoperative heart block; Ultra-fast-track extubation; Hemodynamic variability.</w:t>
      </w:r>
    </w:p>
    <w:p w14:paraId="52E4C5A0" w14:textId="77777777" w:rsidR="00C5766E" w:rsidRPr="0068626B" w:rsidRDefault="00C5766E" w:rsidP="00C5766E">
      <w:pPr>
        <w:spacing w:line="360" w:lineRule="auto"/>
        <w:jc w:val="both"/>
        <w:rPr>
          <w:rFonts w:ascii="Times New Roman" w:hAnsi="Times New Roman"/>
          <w:b/>
          <w:sz w:val="24"/>
          <w:szCs w:val="24"/>
          <w:lang w:val="tr-TR"/>
        </w:rPr>
      </w:pPr>
      <w:r w:rsidRPr="0068626B">
        <w:rPr>
          <w:rFonts w:ascii="Times New Roman" w:hAnsi="Times New Roman"/>
          <w:b/>
          <w:sz w:val="24"/>
          <w:szCs w:val="24"/>
          <w:lang w:val="tr-TR"/>
        </w:rPr>
        <w:t>I</w:t>
      </w:r>
      <w:r w:rsidRPr="0068626B">
        <w:rPr>
          <w:rFonts w:ascii="Times New Roman" w:hAnsi="Times New Roman"/>
          <w:b/>
          <w:sz w:val="24"/>
          <w:szCs w:val="24"/>
        </w:rPr>
        <w:t>ntroduction</w:t>
      </w:r>
    </w:p>
    <w:p w14:paraId="2CD319E5" w14:textId="77FB194B"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Adult minimally invasive cardiac surgery (MICS)—typically performed through a right anterolateral mini-thoracotomy or via robotic assistance—has largely displaced conventional median sternotomy as the preferred approach for isolated mitral and tricuspid valve operations, atrial septal defect closures, and selected coronary procedures</w:t>
      </w:r>
      <w:r w:rsidR="00532838">
        <w:rPr>
          <w:rFonts w:ascii="Times New Roman" w:hAnsi="Times New Roman"/>
          <w:bCs/>
          <w:sz w:val="24"/>
          <w:szCs w:val="24"/>
          <w:lang w:val="tr-TR"/>
        </w:rPr>
      </w:r>
      <w:r w:rsidR="00532838">
        <w:rPr>
          <w:rFonts w:ascii="Times New Roman" w:hAnsi="Times New Roman"/>
          <w:bCs/>
          <w:sz w:val="24"/>
          <w:szCs w:val="24"/>
          <w:lang w:val="tr-TR"/>
        </w:rPr>
      </w:r>
      <w:r w:rsidR="00532838">
        <w:rPr>
          <w:rFonts w:ascii="Times New Roman" w:hAnsi="Times New Roman"/>
          <w:bCs/>
          <w:noProof/>
          <w:sz w:val="24"/>
          <w:szCs w:val="24"/>
          <w:lang w:val="tr-TR"/>
        </w:rPr>
        <w:t>[1, 2]</w:t>
      </w:r>
      <w:r w:rsidRPr="0029479A">
        <w:rPr>
          <w:rFonts w:ascii="Times New Roman" w:hAnsi="Times New Roman"/>
          <w:bCs/>
          <w:sz w:val="24"/>
          <w:szCs w:val="24"/>
          <w:lang w:val="tr-TR"/>
        </w:rPr>
        <w:t xml:space="preserve">. Driven by patients' demands for superior cosmesis and faster functional recovery, MICS is robustly supported by clinical evidence demonstrating significant reductions in postoperative bleeding, blood product transfusions, and overall hospital length of stay without compromising long-term surgical durability </w:t>
      </w:r>
      <w:r w:rsidR="00532838">
        <w:rPr>
          <w:rFonts w:ascii="Times New Roman" w:hAnsi="Times New Roman"/>
          <w:bCs/>
          <w:noProof/>
          <w:sz w:val="24"/>
          <w:szCs w:val="24"/>
          <w:lang w:val="tr-TR"/>
        </w:rPr>
        <w:t>[3]</w:t>
      </w:r>
      <w:r w:rsidR="00532838">
        <w:rPr>
          <w:rFonts w:ascii="Times New Roman" w:hAnsi="Times New Roman"/>
          <w:bCs/>
          <w:sz w:val="24"/>
          <w:szCs w:val="24"/>
          <w:lang w:val="tr-TR"/>
        </w:rPr>
        <w:t>.</w:t>
      </w:r>
      <w:r w:rsidRPr="0029479A">
        <w:rPr>
          <w:rFonts w:ascii="Times New Roman" w:hAnsi="Times New Roman"/>
          <w:bCs/>
          <w:sz w:val="24"/>
          <w:szCs w:val="24"/>
          <w:lang w:val="tr-TR"/>
        </w:rPr>
        <w:t xml:space="preserve"> However, </w:t>
      </w:r>
      <w:r w:rsidRPr="00262D4C">
        <w:rPr>
          <w:rFonts w:ascii="Times New Roman" w:hAnsi="Times New Roman"/>
          <w:bCs/>
          <w:sz w:val="24"/>
          <w:szCs w:val="24"/>
          <w:highlight w:val="green"/>
          <w:lang w:val="tr-TR"/>
        </w:rPr>
        <w:t xml:space="preserve">the perioperative anesthetic landscape of MICS is distinctly more exacting than that of conventional open-heart surgery. The restricted surgical field, the physiological stress of single-lung ventilation (OLV) </w:t>
      </w:r>
      <w:r w:rsidR="00532838" w:rsidRPr="00262D4C">
        <w:rPr>
          <w:rFonts w:ascii="Times New Roman" w:hAnsi="Times New Roman"/>
          <w:bCs/>
          <w:sz w:val="24"/>
          <w:szCs w:val="24"/>
          <w:highlight w:val="green"/>
          <w:lang w:val="tr-TR"/>
        </w:rPr>
      </w:r>
      <w:r w:rsidR="00532838" w:rsidRPr="00262D4C">
        <w:rPr>
          <w:rFonts w:ascii="Times New Roman" w:hAnsi="Times New Roman"/>
          <w:bCs/>
          <w:sz w:val="24"/>
          <w:szCs w:val="24"/>
          <w:highlight w:val="green"/>
          <w:lang w:val="tr-TR"/>
        </w:rPr>
      </w:r>
      <w:r w:rsidR="00532838" w:rsidRPr="00262D4C">
        <w:rPr>
          <w:rFonts w:ascii="Times New Roman" w:hAnsi="Times New Roman"/>
          <w:bCs/>
          <w:noProof/>
          <w:sz w:val="24"/>
          <w:szCs w:val="24"/>
          <w:highlight w:val="green"/>
          <w:lang w:val="tr-TR"/>
        </w:rPr>
        <w:t>[4]</w:t>
      </w:r>
      <w:r w:rsidRPr="00262D4C">
        <w:rPr>
          <w:rFonts w:ascii="Times New Roman" w:hAnsi="Times New Roman"/>
          <w:bCs/>
          <w:sz w:val="24"/>
          <w:szCs w:val="24"/>
          <w:highlight w:val="green"/>
          <w:lang w:val="tr-TR"/>
        </w:rPr>
        <w:t xml:space="preserve"> and the unique circulatory alterations</w:t>
      </w:r>
      <w:r w:rsidRPr="0029479A">
        <w:rPr>
          <w:rFonts w:ascii="Times New Roman" w:hAnsi="Times New Roman"/>
          <w:bCs/>
          <w:sz w:val="24"/>
          <w:szCs w:val="24"/>
          <w:lang w:val="tr-TR"/>
        </w:rPr>
        <w:t xml:space="preserve"> </w:t>
      </w:r>
      <w:r w:rsidRPr="00262D4C">
        <w:rPr>
          <w:rFonts w:ascii="Times New Roman" w:hAnsi="Times New Roman"/>
          <w:bCs/>
          <w:sz w:val="24"/>
          <w:szCs w:val="24"/>
          <w:highlight w:val="green"/>
          <w:lang w:val="tr-TR"/>
        </w:rPr>
        <w:t>imposed by peripheral femoral arterial and venous cardiopulmonary bypass (CPB) cannulation combine to narrow the cardiovascular safety margin. These dynamic procedural phases can trigger acute shifts in pulmonary vascular resistance, right ventricular volume loading, and profound mean arterial pressure (MAP) lability, demanding highly precise and immediate titration of anesthetic agents.</w:t>
      </w:r>
    </w:p>
    <w:p w14:paraId="39952E0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A pivotal determinant of clinical success within modern MICS pathways is the implementation of structured "ultra-fast-track" anesthesia protocols aimed at early, safe extubation and expedited transition through the intensive care unit (ICU). Achieving these endpoints necessitates an anesthetic delivery strategy capable of maintaining tight intraoperative hypnotic and analgesic control during intense surgical stimulation, while ensuring a rapid, predictable dissipation of drug effects to avoid prolonged residual sedation. Traditionally, intraoperative total intravenous anesthesia (TIVA) has been managed via Manual-Controlled Infusion (MCI), where drug delivery is adjusted at the clinician’s discretion through empirical step-changes in infusion rates. Because MCI lacks an underlying pharmacokinetic profile, it is highly susceptible to drug accumulation and relative overdosing, which frequently manifests as intraoperative hemodynamic instability, prolonged mechanical ventilation, or delayed emergence.</w:t>
      </w:r>
    </w:p>
    <w:p w14:paraId="2B14639E" w14:textId="27C42E7B"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 xml:space="preserve">To circumvent these limitations, pharmacokinetic model-driven Target-Controlled Infusion (TCI) systems automate drug delivery by continually calibrating plasma or effect-site concentrations based on patient-specific covariates. While traditional cardiac TCI protocols have historically relied on first-generation models—such as the Marsh or Schnider models for propofol and the Minto model for remifentanil—these algorithms possess inherent limitations when applied to broad patient populations, particularly regarding body mass index extremes and elderly cohorts </w:t>
      </w:r>
      <w:r w:rsidR="00532838">
        <w:rPr>
          <w:rFonts w:ascii="Times New Roman" w:hAnsi="Times New Roman"/>
          <w:bCs/>
          <w:sz w:val="24"/>
          <w:szCs w:val="24"/>
          <w:lang w:val="tr-TR"/>
        </w:rPr>
      </w:r>
      <w:r w:rsidR="00532838">
        <w:rPr>
          <w:rFonts w:ascii="Times New Roman" w:hAnsi="Times New Roman"/>
          <w:bCs/>
          <w:sz w:val="24"/>
          <w:szCs w:val="24"/>
          <w:lang w:val="tr-TR"/>
        </w:rPr>
      </w:r>
      <w:r w:rsidR="00532838">
        <w:rPr>
          <w:rFonts w:ascii="Times New Roman" w:hAnsi="Times New Roman"/>
          <w:bCs/>
          <w:noProof/>
          <w:sz w:val="24"/>
          <w:szCs w:val="24"/>
          <w:lang w:val="tr-TR"/>
        </w:rPr>
        <w:t>[5]</w:t>
      </w:r>
      <w:r w:rsidR="00532838">
        <w:rPr>
          <w:rFonts w:ascii="Times New Roman" w:hAnsi="Times New Roman"/>
          <w:bCs/>
          <w:sz w:val="24"/>
          <w:szCs w:val="24"/>
          <w:lang w:val="tr-TR"/>
        </w:rPr>
        <w:t>.</w:t>
      </w:r>
      <w:r w:rsidR="00532838" w:rsidRPr="0029479A">
        <w:rPr>
          <w:rFonts w:ascii="Times New Roman" w:hAnsi="Times New Roman"/>
          <w:bCs/>
          <w:sz w:val="24"/>
          <w:szCs w:val="24"/>
          <w:lang w:val="tr-TR"/>
        </w:rPr>
        <w:t xml:space="preserve"> </w:t>
      </w:r>
      <w:r w:rsidRPr="0029479A">
        <w:rPr>
          <w:rFonts w:ascii="Times New Roman" w:hAnsi="Times New Roman"/>
          <w:bCs/>
          <w:sz w:val="24"/>
          <w:szCs w:val="24"/>
          <w:lang w:val="tr-TR"/>
        </w:rPr>
        <w:t>A major paradigm shift in contemporary TIVA is the introduction of the Eleveld pharmacokinetic/pharmacodynamic (PK/PD) model for both propofol and remifentanil </w:t>
      </w:r>
      <w:r w:rsidR="00532838">
        <w:rPr>
          <w:rFonts w:ascii="Times New Roman" w:hAnsi="Times New Roman"/>
          <w:bCs/>
          <w:sz w:val="24"/>
          <w:szCs w:val="24"/>
          <w:lang w:val="tr-TR"/>
        </w:rPr>
      </w:r>
      <w:r w:rsidR="00532838">
        <w:rPr>
          <w:rFonts w:ascii="Times New Roman" w:hAnsi="Times New Roman"/>
          <w:bCs/>
          <w:sz w:val="24"/>
          <w:szCs w:val="24"/>
          <w:lang w:val="tr-TR"/>
        </w:rPr>
      </w:r>
      <w:r w:rsidR="00532838">
        <w:rPr>
          <w:rFonts w:ascii="Times New Roman" w:hAnsi="Times New Roman"/>
          <w:bCs/>
          <w:noProof/>
          <w:sz w:val="24"/>
          <w:szCs w:val="24"/>
          <w:lang w:val="tr-TR"/>
        </w:rPr>
        <w:t>[5, 6]</w:t>
      </w:r>
      <w:r w:rsidRPr="0029479A">
        <w:rPr>
          <w:rFonts w:ascii="Times New Roman" w:hAnsi="Times New Roman"/>
          <w:bCs/>
          <w:sz w:val="24"/>
          <w:szCs w:val="24"/>
          <w:lang w:val="tr-TR"/>
        </w:rPr>
        <w:t xml:space="preserve">. Developed using vast, heterogeneous datasets, the Eleveld model provides a unified, all-age, and all-weight dosing matrix that accounts for complex body composition metrics, thereby delivering unprecedented accuracy in maintaining predicted effect-site concentrations. When coupled with quantitative depth-of-anesthesia tracking (e.g., Bispectral Index or Narcotrend monitoring) </w:t>
      </w:r>
      <w:r w:rsidR="00532838">
        <w:rPr>
          <w:rFonts w:ascii="Times New Roman" w:hAnsi="Times New Roman"/>
          <w:bCs/>
          <w:noProof/>
          <w:sz w:val="24"/>
          <w:szCs w:val="24"/>
          <w:lang w:val="tr-TR"/>
        </w:rPr>
        <w:t>[7]</w:t>
      </w:r>
      <w:r w:rsidRPr="0029479A">
        <w:rPr>
          <w:rFonts w:ascii="Times New Roman" w:hAnsi="Times New Roman"/>
          <w:bCs/>
          <w:sz w:val="24"/>
          <w:szCs w:val="24"/>
          <w:lang w:val="tr-TR"/>
        </w:rPr>
        <w:t>, Eleveld model-driven TCI is theorized to provide superior stabilization of pharmacodynamic expressions, reducing advanced hemodynamic variability metrics—such as variability independent of the mean (VIM), average real variability (ARV), and the cumulative hypotension burden defined by the area under the curve (AUC) for MAP below 65 mmHg.</w:t>
      </w:r>
    </w:p>
    <w:p w14:paraId="139DE9C7" w14:textId="6712BC95" w:rsidR="009F61F1" w:rsidRDefault="009F61F1" w:rsidP="0029479A">
      <w:pPr>
        <w:spacing w:line="360" w:lineRule="auto"/>
        <w:jc w:val="both"/>
        <w:rPr>
          <w:rFonts w:ascii="Times New Roman" w:hAnsi="Times New Roman"/>
          <w:b/>
          <w:bCs/>
          <w:sz w:val="24"/>
          <w:szCs w:val="24"/>
          <w:lang w:val="tr-TR"/>
        </w:rPr>
      </w:pPr>
      <w:r w:rsidRPr="009F61F1">
        <w:rPr>
          <w:rFonts w:ascii="Times New Roman" w:hAnsi="Times New Roman"/>
          <w:bCs/>
          <w:sz w:val="24"/>
          <w:szCs w:val="24"/>
        </w:rPr>
        <w:t xml:space="preserve">Minimizing this hypoperfusion burden is vital, as intraoperative hypotension and high blood pressure variability are established risk factors for postoperative organ dysfunction and prolonged intensive care exposure. Alongside hemodynamic optimization, achieving early respiratory independence is a core component of MICS fast-track pathways. Recent data indicates that achieving successful operating room or early intensive care extubation is highly feasible when intraoperative opioid exposure and anesthetic recovery are meticulously managed </w:t>
      </w:r>
      <w:r w:rsidR="00532838">
        <w:rPr>
          <w:rFonts w:ascii="Times New Roman" w:hAnsi="Times New Roman"/>
          <w:bCs/>
          <w:sz w:val="24"/>
          <w:szCs w:val="24"/>
        </w:rPr>
      </w:r>
      <w:r w:rsidR="00532838">
        <w:rPr>
          <w:rFonts w:ascii="Times New Roman" w:hAnsi="Times New Roman"/>
          <w:bCs/>
          <w:sz w:val="24"/>
          <w:szCs w:val="24"/>
        </w:rPr>
      </w:r>
      <w:r w:rsidR="00532838">
        <w:rPr>
          <w:rFonts w:ascii="Times New Roman" w:hAnsi="Times New Roman"/>
          <w:bCs/>
          <w:noProof/>
          <w:sz w:val="24"/>
          <w:szCs w:val="24"/>
        </w:rPr>
        <w:t>[8]</w:t>
      </w:r>
      <w:r w:rsidRPr="009F61F1">
        <w:rPr>
          <w:rFonts w:ascii="Times New Roman" w:hAnsi="Times New Roman"/>
          <w:bCs/>
          <w:sz w:val="24"/>
          <w:szCs w:val="24"/>
        </w:rPr>
        <w:t>. Furthermore, cardiac conduction disturbances, such as postoperative heart blocks (atrioventricular or bundle branch blocks), represent a critical and well-known risk following valve surgeries due to direct surgical trauma, local edema, or inadequate myocardial protection near the conduction bundle pathways. While the incidence of these conduction blocks is traditionally linked to surgical techniques, the stability of perfusion pressure and the precision of anesthetic-induced sympathetic blockade during CPB separation may play an unexamined role in myocardial stress and subsequent conduction recovery. Despite the theoretical superiority of the next-generation Eleveld model, there is a total scarcity of comparative evidence evaluating its clinical performance against conventional MCI in the highly demanding environment of adult MICS, particularly regarding the combined triad of hemodynamic volatility, ultra-fast-track extubation kinetics, and post-operative cardiac conduction complications.</w:t>
      </w:r>
      <w:r w:rsidRPr="009F61F1">
        <w:rPr>
          <w:rFonts w:ascii="Times New Roman" w:hAnsi="Times New Roman"/>
          <w:b/>
          <w:bCs/>
          <w:sz w:val="24"/>
          <w:szCs w:val="24"/>
          <w:lang w:val="tr-TR"/>
        </w:rPr>
        <w:t xml:space="preserve"> </w:t>
      </w:r>
    </w:p>
    <w:p w14:paraId="1F2A8B18" w14:textId="65F2185F" w:rsidR="0029479A" w:rsidRPr="0029479A" w:rsidRDefault="0029479A" w:rsidP="0029479A">
      <w:pPr>
        <w:spacing w:line="360" w:lineRule="auto"/>
        <w:jc w:val="both"/>
        <w:rPr>
          <w:rFonts w:ascii="Times New Roman" w:hAnsi="Times New Roman"/>
          <w:b/>
          <w:bCs/>
          <w:sz w:val="24"/>
          <w:szCs w:val="24"/>
          <w:lang w:val="tr-TR"/>
        </w:rPr>
      </w:pPr>
      <w:r w:rsidRPr="0029479A">
        <w:rPr>
          <w:rFonts w:ascii="Times New Roman" w:hAnsi="Times New Roman"/>
          <w:b/>
          <w:bCs/>
          <w:sz w:val="24"/>
          <w:szCs w:val="24"/>
          <w:lang w:val="tr-TR"/>
        </w:rPr>
        <w:t>Study Objectives</w:t>
      </w:r>
    </w:p>
    <w:p w14:paraId="3E26E4A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Therefore, this single-center retrospective observational study was designed to evaluate and compare our institutional experience with next-generation Eleveld model-driven TCI versus conventional MCI in adult patients undergoing elective MICS via right mini-thoracotomy. The primary objective was to investigate the clinical impact of these two infusion modalities on:</w:t>
      </w:r>
    </w:p>
    <w:p w14:paraId="751F62DD" w14:textId="22F6CA60"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Intraoperative Hemodynamic Volatility:</w:t>
      </w:r>
      <w:r w:rsidRPr="0029479A">
        <w:rPr>
          <w:rFonts w:ascii="Times New Roman" w:hAnsi="Times New Roman"/>
          <w:b/>
          <w:sz w:val="24"/>
          <w:szCs w:val="24"/>
          <w:lang w:val="tr-TR"/>
        </w:rPr>
        <w:t> </w:t>
      </w:r>
      <w:r w:rsidRPr="0029479A">
        <w:rPr>
          <w:rFonts w:ascii="Times New Roman" w:hAnsi="Times New Roman"/>
          <w:bCs/>
          <w:sz w:val="24"/>
          <w:szCs w:val="24"/>
          <w:lang w:val="tr-TR"/>
        </w:rPr>
        <w:t xml:space="preserve">Assessing blood pressure lability through advanced mathematical indices (ARV, VIM) and the cumulative intraoperative hypotension burden (MAP AUC </w:t>
      </w:r>
      <w:r w:rsidR="00262D4C" w:rsidRPr="0029479A">
        <w:rPr>
          <w:rFonts w:ascii="Times New Roman" w:hAnsi="Times New Roman"/>
          <w:bCs/>
          <w:sz w:val="24"/>
          <w:szCs w:val="24"/>
          <w:lang w:val="tr-TR"/>
        </w:rPr>
        <w:t>&lt;65</w:t>
      </w:r>
      <w:r w:rsidRPr="0029479A">
        <w:rPr>
          <w:rFonts w:ascii="Times New Roman" w:hAnsi="Times New Roman"/>
          <w:bCs/>
          <w:sz w:val="24"/>
          <w:szCs w:val="24"/>
          <w:lang w:val="tr-TR"/>
        </w:rPr>
        <w:t xml:space="preserve"> mmHg) under the guidance of Eleveld PK/PD modeling.</w:t>
      </w:r>
    </w:p>
    <w:p w14:paraId="5020A3F5"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Extubation Kinetics and ICU Length of Stay:</w:t>
      </w:r>
      <w:r w:rsidRPr="0029479A">
        <w:rPr>
          <w:rFonts w:ascii="Times New Roman" w:hAnsi="Times New Roman"/>
          <w:b/>
          <w:sz w:val="24"/>
          <w:szCs w:val="24"/>
          <w:lang w:val="tr-TR"/>
        </w:rPr>
        <w:t> </w:t>
      </w:r>
      <w:r w:rsidRPr="0029479A">
        <w:rPr>
          <w:rFonts w:ascii="Times New Roman" w:hAnsi="Times New Roman"/>
          <w:bCs/>
          <w:sz w:val="24"/>
          <w:szCs w:val="24"/>
          <w:lang w:val="tr-TR"/>
        </w:rPr>
        <w:t>Measuring the intervals to safe extubation, the incidence of prolonged mechanical ventilation, and overall intensive care unit utilization.</w:t>
      </w:r>
    </w:p>
    <w:p w14:paraId="0F3EC898"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Postoperative Cardiac Conduction Blocks:</w:t>
      </w:r>
      <w:r w:rsidRPr="0029479A">
        <w:rPr>
          <w:rFonts w:ascii="Times New Roman" w:hAnsi="Times New Roman"/>
          <w:b/>
          <w:sz w:val="24"/>
          <w:szCs w:val="24"/>
          <w:lang w:val="tr-TR"/>
        </w:rPr>
        <w:t> </w:t>
      </w:r>
      <w:r w:rsidRPr="0029479A">
        <w:rPr>
          <w:rFonts w:ascii="Times New Roman" w:hAnsi="Times New Roman"/>
          <w:bCs/>
          <w:sz w:val="24"/>
          <w:szCs w:val="24"/>
          <w:lang w:val="tr-TR"/>
        </w:rPr>
        <w:t>Evaluating whether the optimized drug titration and superior hemodynamic control offered by the Eleveld TCI model correlates with a reduced incidence of postoperative heart blocks and lower early inotropic requirements during the immediate recovery phase.</w:t>
      </w:r>
    </w:p>
    <w:p w14:paraId="76A239D8"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By evaluating these comprehensive perioperative parameters, this study aims to provide the first clinical benchmark for Eleveld-driven TCI in adult MICS, delineating a novel and safer anesthetic delivery strategy within an optimized fast-track cardiac pathway.</w:t>
      </w:r>
    </w:p>
    <w:p w14:paraId="21E6A824" w14:textId="77777777" w:rsidR="00C5766E" w:rsidRDefault="00C5766E" w:rsidP="00C5766E">
      <w:pPr>
        <w:spacing w:line="360" w:lineRule="auto"/>
        <w:jc w:val="both"/>
        <w:rPr>
          <w:rFonts w:ascii="Times New Roman" w:hAnsi="Times New Roman"/>
          <w:b/>
          <w:sz w:val="24"/>
          <w:szCs w:val="24"/>
        </w:rPr>
      </w:pPr>
    </w:p>
    <w:p w14:paraId="5607C745" w14:textId="77777777" w:rsidR="00262D4C" w:rsidRDefault="00262D4C" w:rsidP="00C5766E">
      <w:pPr>
        <w:spacing w:line="360" w:lineRule="auto"/>
        <w:jc w:val="both"/>
        <w:rPr>
          <w:rFonts w:ascii="Times New Roman" w:hAnsi="Times New Roman"/>
          <w:b/>
          <w:sz w:val="24"/>
          <w:szCs w:val="24"/>
        </w:rPr>
      </w:pPr>
    </w:p>
    <w:p w14:paraId="2B0693D0" w14:textId="77777777" w:rsidR="00262D4C" w:rsidRDefault="00262D4C" w:rsidP="00C5766E">
      <w:pPr>
        <w:spacing w:line="360" w:lineRule="auto"/>
        <w:jc w:val="both"/>
        <w:rPr>
          <w:rFonts w:ascii="Times New Roman" w:hAnsi="Times New Roman"/>
          <w:b/>
          <w:sz w:val="24"/>
          <w:szCs w:val="24"/>
        </w:rPr>
      </w:pPr>
    </w:p>
    <w:p w14:paraId="28CD24D4" w14:textId="03749862" w:rsidR="00C5766E" w:rsidRPr="00283EBD"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Materials and Methods</w:t>
      </w:r>
    </w:p>
    <w:p w14:paraId="318B851F"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2.1. Study Design and Ethical Approval</w:t>
      </w:r>
    </w:p>
    <w:p w14:paraId="622961CF" w14:textId="77777777" w:rsidR="001A2FC7" w:rsidRPr="001A2FC7" w:rsidRDefault="001A2FC7" w:rsidP="001A2FC7">
      <w:pPr>
        <w:spacing w:line="360" w:lineRule="auto"/>
        <w:jc w:val="both"/>
        <w:rPr>
          <w:rFonts w:ascii="Times New Roman" w:hAnsi="Times New Roman"/>
          <w:sz w:val="24"/>
          <w:szCs w:val="24"/>
          <w:lang/>
        </w:rPr>
      </w:pPr>
      <w:r w:rsidRPr="001A2FC7">
        <w:rPr>
          <w:rFonts w:ascii="Times New Roman" w:hAnsi="Times New Roman"/>
          <w:sz w:val="24"/>
          <w:szCs w:val="24"/>
          <w:lang/>
        </w:rPr>
        <w:t xml:space="preserve">This was a single-center retrospective observational study of adult patients who underwent minimal invasive cardiac surgery at Hacettepe University Hospital. </w:t>
      </w:r>
      <w:r w:rsidR="00766322" w:rsidRPr="00766322">
        <w:rPr>
          <w:rFonts w:ascii="Times New Roman" w:hAnsi="Times New Roman"/>
          <w:sz w:val="24"/>
          <w:szCs w:val="24"/>
          <w:lang w:val="tr-TR"/>
        </w:rPr>
        <w:t xml:space="preserve">The study protocol was formally reviewed and approved by the Hacettepe University Health Sciences Research Ethics Committee (Approval Date: July 18, 2025). </w:t>
      </w:r>
      <w:r w:rsidRPr="001A2FC7">
        <w:rPr>
          <w:rFonts w:ascii="Times New Roman" w:hAnsi="Times New Roman"/>
          <w:sz w:val="24"/>
          <w:szCs w:val="24"/>
          <w:lang/>
        </w:rPr>
        <w:t xml:space="preserve">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w:t>
      </w:r>
      <w:r w:rsidRPr="00262D4C">
        <w:rPr>
          <w:rFonts w:ascii="Times New Roman" w:hAnsi="Times New Roman"/>
          <w:sz w:val="24"/>
          <w:szCs w:val="24"/>
          <w:highlight w:val="green"/>
          <w:lang/>
        </w:rPr>
        <w:t>All patients received total intravenous anesthesia; no inhalational anesthetic agents were administered intraoperatively</w:t>
      </w:r>
      <w:r w:rsidRPr="001A2FC7">
        <w:rPr>
          <w:rFonts w:ascii="Times New Roman" w:hAnsi="Times New Roman"/>
          <w:sz w:val="24"/>
          <w:szCs w:val="24"/>
          <w:lang/>
        </w:rPr>
        <w:t>. The analytic framework was adapted from Bai et al. (Journal of Clinical Anesthesia, 2026), with modifications appropriate to the single-center cohort design and sample size.</w:t>
      </w:r>
    </w:p>
    <w:p w14:paraId="507ECD41" w14:textId="689A21CE" w:rsidR="00766322" w:rsidRPr="00766322" w:rsidRDefault="00766322" w:rsidP="00766322">
      <w:pPr>
        <w:spacing w:line="360" w:lineRule="auto"/>
        <w:jc w:val="both"/>
        <w:rPr>
          <w:rFonts w:ascii="Times New Roman" w:hAnsi="Times New Roman"/>
          <w:sz w:val="24"/>
          <w:szCs w:val="24"/>
          <w:lang w:val="tr-TR"/>
        </w:rPr>
      </w:pPr>
    </w:p>
    <w:p w14:paraId="2B950C08"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2.2. Patient Selection and Eligibility Criteria</w:t>
      </w:r>
    </w:p>
    <w:p w14:paraId="0FFB6B72" w14:textId="77777777" w:rsidR="00766322" w:rsidRPr="00766322" w:rsidRDefault="00766322" w:rsidP="00766322">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Electronic medical records, anesthesia charts, and intensive care unit (ICU) flowsheet databases were comprehensively screened for adult patients who underwent elective minimally invasive cardiac surgery (MICS) via a right anterolateral mini-thoracotomy under total intravenous anesthesia (TIVA) between January 2020 and July 2025.</w:t>
      </w:r>
    </w:p>
    <w:p w14:paraId="3B55B467" w14:textId="77777777" w:rsidR="00766322" w:rsidRPr="00766322" w:rsidRDefault="00766322" w:rsidP="00766322">
      <w:pPr>
        <w:spacing w:line="360" w:lineRule="auto"/>
        <w:rPr>
          <w:rFonts w:ascii="Times New Roman" w:hAnsi="Times New Roman"/>
          <w:sz w:val="24"/>
          <w:szCs w:val="24"/>
          <w:lang w:val="tr-TR"/>
        </w:rPr>
      </w:pPr>
      <w:r w:rsidRPr="00766322">
        <w:rPr>
          <w:rFonts w:ascii="Times New Roman" w:hAnsi="Times New Roman"/>
          <w:b/>
          <w:bCs/>
          <w:sz w:val="24"/>
          <w:szCs w:val="24"/>
          <w:lang w:val="tr-TR"/>
        </w:rPr>
        <w:t>Inclusion criteria</w:t>
      </w:r>
      <w:r w:rsidRPr="00766322">
        <w:rPr>
          <w:rFonts w:ascii="Times New Roman" w:hAnsi="Times New Roman"/>
          <w:sz w:val="24"/>
          <w:szCs w:val="24"/>
          <w:lang w:val="tr-TR"/>
        </w:rPr>
        <w:t> were defined as follows:</w:t>
      </w:r>
    </w:p>
    <w:p w14:paraId="61F6B1E7"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Age ≥ 18 years;</w:t>
      </w:r>
    </w:p>
    <w:p w14:paraId="5013C6A1"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American Society of Anesthesiologists (ASA) physical status classification III or IV;</w:t>
      </w:r>
    </w:p>
    <w:p w14:paraId="21B7F4EB"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Elective isolated mitral valve repair/replacement, tricuspid valve intervention, or atrial septal defect (ASD) closure via mini-thoracotomy utilizing peripheral cardiopulmonary bypass (CPB).</w:t>
      </w:r>
    </w:p>
    <w:p w14:paraId="772598DD" w14:textId="77777777" w:rsidR="00262D4C" w:rsidRDefault="00262D4C" w:rsidP="00766322">
      <w:pPr>
        <w:spacing w:line="360" w:lineRule="auto"/>
        <w:rPr>
          <w:rFonts w:ascii="Times New Roman" w:hAnsi="Times New Roman"/>
          <w:b/>
          <w:bCs/>
          <w:sz w:val="24"/>
          <w:szCs w:val="24"/>
          <w:lang w:val="tr-TR"/>
        </w:rPr>
      </w:pPr>
    </w:p>
    <w:p w14:paraId="293B9A76" w14:textId="1E1718F8" w:rsidR="00766322" w:rsidRPr="00766322" w:rsidRDefault="00766322" w:rsidP="00766322">
      <w:pPr>
        <w:spacing w:line="360" w:lineRule="auto"/>
        <w:rPr>
          <w:rFonts w:ascii="Times New Roman" w:hAnsi="Times New Roman"/>
          <w:sz w:val="24"/>
          <w:szCs w:val="24"/>
          <w:lang w:val="tr-TR"/>
        </w:rPr>
      </w:pPr>
      <w:r w:rsidRPr="00766322">
        <w:rPr>
          <w:rFonts w:ascii="Times New Roman" w:hAnsi="Times New Roman"/>
          <w:b/>
          <w:bCs/>
          <w:sz w:val="24"/>
          <w:szCs w:val="24"/>
          <w:lang w:val="tr-TR"/>
        </w:rPr>
        <w:t>Exclusion criteria</w:t>
      </w:r>
      <w:r w:rsidRPr="00766322">
        <w:rPr>
          <w:rFonts w:ascii="Times New Roman" w:hAnsi="Times New Roman"/>
          <w:sz w:val="24"/>
          <w:szCs w:val="24"/>
          <w:lang w:val="tr-TR"/>
        </w:rPr>
        <w:t> comprised:</w:t>
      </w:r>
    </w:p>
    <w:p w14:paraId="6EA1787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Emergency or salvage operations;</w:t>
      </w:r>
    </w:p>
    <w:p w14:paraId="4397074E"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Conversion to conventional median sternotomy during the procedure;</w:t>
      </w:r>
    </w:p>
    <w:p w14:paraId="14001D4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Pre-existing advanced cardiac conduction system disease (e.g., second- or third-degree atrioventricular block, permanent pacemaker, or implantable cardioverter-defibrillator dependence);</w:t>
      </w:r>
    </w:p>
    <w:p w14:paraId="636FA30D"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Severe pre-operative hepatic or renal failure requiring renal replacement therapy;</w:t>
      </w:r>
    </w:p>
    <w:p w14:paraId="4CCF1266"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Combined procedures involving concomitant coronary artery bypass grafting (CABG) or aortic valve replacement.</w:t>
      </w:r>
    </w:p>
    <w:p w14:paraId="3F01A361"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Eligible patients were partitioned into two cohorts based on the intraoperative anesthetic delivery strategy utilized by the attending anesthesiologist: the </w:t>
      </w:r>
      <w:r w:rsidRPr="00766322">
        <w:rPr>
          <w:rFonts w:ascii="Times New Roman" w:hAnsi="Times New Roman"/>
          <w:b/>
          <w:bCs/>
          <w:sz w:val="24"/>
          <w:szCs w:val="24"/>
          <w:lang w:val="tr-TR"/>
        </w:rPr>
        <w:t>TCI Group</w:t>
      </w:r>
      <w:r w:rsidRPr="00766322">
        <w:rPr>
          <w:rFonts w:ascii="Times New Roman" w:hAnsi="Times New Roman"/>
          <w:sz w:val="24"/>
          <w:szCs w:val="24"/>
          <w:lang w:val="tr-TR"/>
        </w:rPr>
        <w:t> (next-generation Eleveld model-driven target-controlled infusion) and the </w:t>
      </w:r>
      <w:r w:rsidRPr="00766322">
        <w:rPr>
          <w:rFonts w:ascii="Times New Roman" w:hAnsi="Times New Roman"/>
          <w:b/>
          <w:bCs/>
          <w:sz w:val="24"/>
          <w:szCs w:val="24"/>
          <w:lang w:val="tr-TR"/>
        </w:rPr>
        <w:t>MCI Group</w:t>
      </w:r>
      <w:r w:rsidRPr="00766322">
        <w:rPr>
          <w:rFonts w:ascii="Times New Roman" w:hAnsi="Times New Roman"/>
          <w:sz w:val="24"/>
          <w:szCs w:val="24"/>
          <w:lang w:val="tr-TR"/>
        </w:rPr>
        <w:t> (conventional manual-controlled infusion titration).</w:t>
      </w:r>
    </w:p>
    <w:p w14:paraId="3CE58F4A"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2.3. Anesthetic Management and Interventions</w:t>
      </w:r>
    </w:p>
    <w:p w14:paraId="4DB6D58F"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Standardized monitoring for all patients included five-lead electrocardiography, pulse oximetry, end-tidal carbon dioxide (EtCO2​), invasive radial or femoral arterial pressure tracking, central venous pressure (CVP) monitoring, core temperature tracking (nasopharyngeal or esophageal), and regional cerebral oximetry via near-infrared spectroscopy (NIRS). Continuous processed electroencephalography (EEG) via quantitative depth-of-anesthesia monitoring (Narcotrend Index or Bispectral Index [BIS]) was systematically utilized to guide and standardize hypnotic titration.</w:t>
      </w:r>
    </w:p>
    <w:p w14:paraId="7A2BBA51"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In the </w:t>
      </w:r>
      <w:r w:rsidRPr="00766322">
        <w:rPr>
          <w:rFonts w:ascii="Times New Roman" w:hAnsi="Times New Roman"/>
          <w:b/>
          <w:bCs/>
          <w:sz w:val="24"/>
          <w:szCs w:val="24"/>
          <w:lang w:val="tr-TR"/>
        </w:rPr>
        <w:t>MCI Group</w:t>
      </w:r>
      <w:r w:rsidRPr="00766322">
        <w:rPr>
          <w:rFonts w:ascii="Times New Roman" w:hAnsi="Times New Roman"/>
          <w:sz w:val="24"/>
          <w:szCs w:val="24"/>
          <w:lang w:val="tr-TR"/>
        </w:rPr>
        <w:t>, TIVA was executed using weight-based empirical infusions of propofol and remifentanil. Adjustments to the infusion rates were performed manually at the discretion of the clinician, dictated by clinical signs of anesthetic depth (e.g., changes in heart rate or blood pressure) and processed EEG scores.</w:t>
      </w:r>
    </w:p>
    <w:p w14:paraId="7A97C0CA"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In the </w:t>
      </w:r>
      <w:r w:rsidRPr="00766322">
        <w:rPr>
          <w:rFonts w:ascii="Times New Roman" w:hAnsi="Times New Roman"/>
          <w:b/>
          <w:bCs/>
          <w:sz w:val="24"/>
          <w:szCs w:val="24"/>
          <w:lang w:val="tr-TR"/>
        </w:rPr>
        <w:t>TCI Group</w:t>
      </w:r>
      <w:r w:rsidRPr="00766322">
        <w:rPr>
          <w:rFonts w:ascii="Times New Roman" w:hAnsi="Times New Roman"/>
          <w:sz w:val="24"/>
          <w:szCs w:val="24"/>
          <w:lang w:val="tr-TR"/>
        </w:rPr>
        <w:t>, total intravenous anesthesia was delivered utilizing a next-generation approach powered by the </w:t>
      </w:r>
      <w:r w:rsidRPr="00262D4C">
        <w:rPr>
          <w:rFonts w:ascii="Times New Roman" w:hAnsi="Times New Roman"/>
          <w:b/>
          <w:bCs/>
          <w:sz w:val="24"/>
          <w:szCs w:val="24"/>
          <w:highlight w:val="green"/>
          <w:lang w:val="tr-TR"/>
        </w:rPr>
        <w:t>Eleveld pharmacokinetic/pharmacodynamic (PK/PD) model</w:t>
      </w:r>
      <w:r w:rsidRPr="00262D4C">
        <w:rPr>
          <w:rFonts w:ascii="Times New Roman" w:hAnsi="Times New Roman"/>
          <w:sz w:val="24"/>
          <w:szCs w:val="24"/>
          <w:highlight w:val="green"/>
          <w:lang w:val="tr-TR"/>
        </w:rPr>
        <w:t> for both propofol</w:t>
      </w:r>
      <w:r w:rsidRPr="00766322">
        <w:rPr>
          <w:rFonts w:ascii="Times New Roman" w:hAnsi="Times New Roman"/>
          <w:sz w:val="24"/>
          <w:szCs w:val="24"/>
          <w:lang w:val="tr-TR"/>
        </w:rPr>
        <w:t xml:space="preserve"> </w:t>
      </w:r>
      <w:r w:rsidRPr="00262D4C">
        <w:rPr>
          <w:rFonts w:ascii="Times New Roman" w:hAnsi="Times New Roman"/>
          <w:sz w:val="24"/>
          <w:szCs w:val="24"/>
          <w:highlight w:val="green"/>
          <w:lang w:val="tr-TR"/>
        </w:rPr>
        <w:t>and remifentanil, integrated into dedicated infusion pumps. Target effect-site concentrations (Ce​) were continually adjusted to maintain an optimal hypnotic depth, targeting a Narcotrend stage of E2 to D1 (or a BIS range between 40 and 55) throughout the pre-CPB, intra-CPB, and post-CPB surgical phases.</w:t>
      </w:r>
    </w:p>
    <w:p w14:paraId="2ACBFFE4"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Surgical approach across both cohorts was standardized via a right mini-thoracotomy at the 4th intercostal space. Cardiopulmonary bypass was established via peripheral cannulation of the femoral artery and vein under transesophageal echocardiographic (TEE) guidance. Vacuum-assisted venous drainage was implemented, and myocardial protection was maintained with intermittent cold blood cardioplegia.</w:t>
      </w:r>
    </w:p>
    <w:p w14:paraId="746568DE" w14:textId="77777777" w:rsidR="00586373" w:rsidRDefault="00586373" w:rsidP="00766322">
      <w:pPr>
        <w:spacing w:line="360" w:lineRule="auto"/>
        <w:rPr>
          <w:rFonts w:ascii="Times New Roman" w:hAnsi="Times New Roman"/>
          <w:b/>
          <w:bCs/>
          <w:sz w:val="24"/>
          <w:szCs w:val="24"/>
          <w:lang w:val="tr-TR"/>
        </w:rPr>
      </w:pPr>
    </w:p>
    <w:p w14:paraId="30A92DE5" w14:textId="77777777" w:rsidR="00586373" w:rsidRDefault="00586373" w:rsidP="00766322">
      <w:pPr>
        <w:spacing w:line="360" w:lineRule="auto"/>
        <w:rPr>
          <w:rFonts w:ascii="Times New Roman" w:hAnsi="Times New Roman"/>
          <w:b/>
          <w:bCs/>
          <w:sz w:val="24"/>
          <w:szCs w:val="24"/>
          <w:lang w:val="tr-TR"/>
        </w:rPr>
      </w:pPr>
    </w:p>
    <w:p w14:paraId="6F24A711" w14:textId="717500B6"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2.4. Data Collection and Hemodynamic Volatility Metrics</w:t>
      </w:r>
    </w:p>
    <w:p w14:paraId="6C2A1DD3"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Demographic variables (age, sex, body mass index [BMI], EuroSCORE II), preoperative comorbidities, and baseline echocardiographic data were extracted. Intraoperative vital signs—specifically invasive Mean Arterial Pressure (MAP) and Heart Rate (HR)—were sampled and logged at synchronized 5-minute intervals from pre-oxygenation to the point of extubation.</w:t>
      </w:r>
    </w:p>
    <w:p w14:paraId="26C72203"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To rigorously evaluate intraoperative hemodynamic stability and quantify the true physiological stress under each infusion modality, three distinct mathematical dimensions of blood pressure volatility were derived from the longitudinal MAP data arrays:</w:t>
      </w:r>
    </w:p>
    <w:p w14:paraId="40709865"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Average Real Variability (ARV):</w:t>
      </w:r>
      <w:r w:rsidRPr="00766322">
        <w:rPr>
          <w:rFonts w:ascii="Times New Roman" w:hAnsi="Times New Roman"/>
          <w:sz w:val="24"/>
          <w:szCs w:val="24"/>
          <w:lang w:val="tr-TR"/>
        </w:rPr>
        <w:t> Calculated as the average of the absolute differences between consecutive MAP measurements. Unlike standard deviation, ARV accounts for the chronological order of readings, providing a pure metric of short-term, sequential pressure lability.</w:t>
      </w:r>
    </w:p>
    <w:p w14:paraId="3A932339"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Variability Independent of the Mean (VIM):</w:t>
      </w:r>
      <w:r w:rsidRPr="00766322">
        <w:rPr>
          <w:rFonts w:ascii="Times New Roman" w:hAnsi="Times New Roman"/>
          <w:sz w:val="24"/>
          <w:szCs w:val="24"/>
          <w:lang w:val="tr-TR"/>
        </w:rPr>
        <w:t> Derived from a non-linear transformation of the standard deviation (SD), calculated as:</w:t>
      </w:r>
    </w:p>
    <w:p w14:paraId="39BB14F4" w14:textId="77777777" w:rsidR="00766322" w:rsidRPr="00766322" w:rsidRDefault="00766322" w:rsidP="008D538E">
      <w:pPr>
        <w:spacing w:line="360" w:lineRule="auto"/>
        <w:jc w:val="center"/>
        <w:rPr>
          <w:rFonts w:ascii="Times New Roman" w:hAnsi="Times New Roman"/>
          <w:sz w:val="24"/>
          <w:szCs w:val="24"/>
          <w:lang w:val="tr-TR"/>
        </w:rPr>
      </w:pPr>
      <w:r w:rsidRPr="00766322">
        <w:rPr>
          <w:rFonts w:ascii="Times New Roman" w:hAnsi="Times New Roman"/>
          <w:sz w:val="24"/>
          <w:szCs w:val="24"/>
          <w:lang w:val="tr-TR"/>
        </w:rPr>
        <w:t>VIM=MAPβSD​</w:t>
      </w:r>
    </w:p>
    <w:p w14:paraId="591FA6E9"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where β is the regression coefficient obtained by fitting the SD against the mean MAP (MAP) across the entire population. VIM provides a lability score mathematically decoupled from the patient's baseline underlying mean blood pressure.</w:t>
      </w:r>
    </w:p>
    <w:p w14:paraId="2E53236B"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Hypotension Burden (AUC):</w:t>
      </w:r>
      <w:r w:rsidRPr="00766322">
        <w:rPr>
          <w:rFonts w:ascii="Times New Roman" w:hAnsi="Times New Roman"/>
          <w:sz w:val="24"/>
          <w:szCs w:val="24"/>
          <w:lang w:val="tr-TR"/>
        </w:rPr>
        <w:t> Quantified as the Area Under the Curve (AUC) for intraoperative mean arterial pressure falling below a critical threshold of 65 mmHg (MAP&lt;65 mmHg). This index captures both the depth and cumulative duration of cellular hypoperfusion phases.</w:t>
      </w:r>
    </w:p>
    <w:p w14:paraId="4682937E"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2.5. Clinical Outcomes and Complications</w:t>
      </w:r>
    </w:p>
    <w:p w14:paraId="1A611787"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The primary outcome of interest was the Intensive Care Unit length of stay (ICU LOS, measured in hours). Secondary outcomes evaluated the fast-track trajectory and organ-protection profile, including:</w:t>
      </w:r>
    </w:p>
    <w:p w14:paraId="19D045DA"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Extubation Kinetics:</w:t>
      </w:r>
      <w:r w:rsidRPr="00766322">
        <w:rPr>
          <w:rFonts w:ascii="Times New Roman" w:hAnsi="Times New Roman"/>
          <w:sz w:val="24"/>
          <w:szCs w:val="24"/>
          <w:lang w:val="tr-TR"/>
        </w:rPr>
        <w:t> The exact time interval (in minutes) from the cessation of the anesthetic infusion to safe extubation in the operating room or the ICU.</w:t>
      </w:r>
    </w:p>
    <w:p w14:paraId="66146B5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Prolonged Mechanical Ventilation:</w:t>
      </w:r>
      <w:r w:rsidRPr="00766322">
        <w:rPr>
          <w:rFonts w:ascii="Times New Roman" w:hAnsi="Times New Roman"/>
          <w:sz w:val="24"/>
          <w:szCs w:val="24"/>
          <w:lang w:val="tr-TR"/>
        </w:rPr>
        <w:t> Defined as the requirement for mechanical ventilation exceeding 48 hours or the necessity for reintubation within 48 hours of primary emergence.</w:t>
      </w:r>
    </w:p>
    <w:p w14:paraId="386632A8"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Postoperative Cardiac Conduction Blocks:</w:t>
      </w:r>
      <w:r w:rsidRPr="00766322">
        <w:rPr>
          <w:rFonts w:ascii="Times New Roman" w:hAnsi="Times New Roman"/>
          <w:sz w:val="24"/>
          <w:szCs w:val="24"/>
          <w:lang w:val="tr-TR"/>
        </w:rPr>
        <w:t> The new-onset incidence of transient or permanent cardiac conduction defects—specifically newly developed first-, second-, or third-degree atrioventricular (AV) blocks or new-onset bundle branch blocks—confirmed by daily 12-lead electrocardiography (ECG) tracking and continuous ICU telemetry up to discharge.</w:t>
      </w:r>
    </w:p>
    <w:p w14:paraId="43B2394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Early postoperative inotropic and vasopressor requirements, acute kidney injury (AKI) incidence graded by KDIGO criteria, and total in-hospital mortality.</w:t>
      </w:r>
    </w:p>
    <w:p w14:paraId="07CBF9B3" w14:textId="77777777" w:rsidR="00262D4C" w:rsidRDefault="00262D4C" w:rsidP="00766322">
      <w:pPr>
        <w:spacing w:line="360" w:lineRule="auto"/>
        <w:rPr>
          <w:rFonts w:ascii="Times New Roman" w:hAnsi="Times New Roman"/>
          <w:b/>
          <w:bCs/>
          <w:sz w:val="24"/>
          <w:szCs w:val="24"/>
          <w:lang w:val="tr-TR"/>
        </w:rPr>
      </w:pPr>
    </w:p>
    <w:p w14:paraId="54190D00" w14:textId="77777777" w:rsidR="00262D4C" w:rsidRDefault="00262D4C" w:rsidP="00766322">
      <w:pPr>
        <w:spacing w:line="360" w:lineRule="auto"/>
        <w:rPr>
          <w:rFonts w:ascii="Times New Roman" w:hAnsi="Times New Roman"/>
          <w:b/>
          <w:bCs/>
          <w:sz w:val="24"/>
          <w:szCs w:val="24"/>
          <w:lang w:val="tr-TR"/>
        </w:rPr>
      </w:pPr>
    </w:p>
    <w:p w14:paraId="0FBC9A81" w14:textId="77777777" w:rsidR="00262D4C" w:rsidRDefault="00262D4C" w:rsidP="00766322">
      <w:pPr>
        <w:spacing w:line="360" w:lineRule="auto"/>
        <w:rPr>
          <w:rFonts w:ascii="Times New Roman" w:hAnsi="Times New Roman"/>
          <w:b/>
          <w:bCs/>
          <w:sz w:val="24"/>
          <w:szCs w:val="24"/>
          <w:lang w:val="tr-TR"/>
        </w:rPr>
      </w:pPr>
    </w:p>
    <w:p w14:paraId="274B9E33" w14:textId="60148EF1"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2.6. Statistical Analysis</w:t>
      </w:r>
    </w:p>
    <w:p w14:paraId="4EBC862F"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Study design and data sources</w:t>
      </w:r>
    </w:p>
    <w:p w14:paraId="31748EDE"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This was a single-center retrospective observational study of adult patients who underwent minimal invasive cardiac surgery at Hacettepe University Hospital. 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All patients received total intravenous anesthesia; no inhalational anesthetic agents were administered intraoperatively. The analytic framework was adapted from Bai et al. (Journal of Clinical Anesthesia, 2026), with modifications appropriate to the single-center cohort design and sample size.</w:t>
      </w:r>
    </w:p>
    <w:p w14:paraId="5F99B3A9"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Descriptive statistics and group comparisons</w:t>
      </w:r>
    </w:p>
    <w:p w14:paraId="268E5282"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 xml:space="preserve">Continuous variables were summarized as median [interquartile range, IQR] when their distribution deviated from normality, as assessed by the Shapiro–Wilk test, or as mean ± standard deviation (SD) when normality was supported. Categorical variables were reported as count (percentage). Between-group comparisons of continuous variables were performed using the Mann–Whitney U test as the default, given the predominance of right-skewed distributions among the outcome variables; Welch's t-test was used in the limited cases where both group distributions met the normality assumption. Effect sizes for continuous comparisons were reported as rank-biserial r, interpreted using Cohen's conventions (small ≈ 0.1, medium ≈ 0.3, large ≈ 0.5). For binary outcomes with clinical relevance, odds ratios with 95% confidence intervals were computed. Confidence intervals for between-group differences in median continuous outcomes were estimated via the bootstrap percentile method (5,000 replications). Categorical variables were compared using the chi-square test or Fisher's exact test when expected cell counts were below five. </w:t>
      </w:r>
    </w:p>
    <w:p w14:paraId="3CFFFF39"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Multivariable models</w:t>
      </w:r>
    </w:p>
    <w:p w14:paraId="43EEF7D0"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Two multivariable linear regression models were prespecified to adjust for potential confounding. Model 1 estimated the association between anesthetic technique (TCI vs TIVA) and intensive care unit (ICU) length of stay, with age, ASA physical status, and cardiopulmonary bypass duration as covariates. The outcome was log-transformed to address right skewness. Model 2 used the same predictor set to estimate the association between anesthetic technique and time to extubation (also log-transformed). For each model, regression coefficients were reported with 95% confidence intervals, standardized beta coefficients, and two-sided p-values. Variance inflation factors were inspected to verify the absence of problematic multicollinearity (all VIF &lt; 1.2). Back-transformation of the TCI coefficient was used to express the adjusted percent difference in the original scale.</w:t>
      </w:r>
    </w:p>
    <w:p w14:paraId="41A5B2B1"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Post-hoc power analysis</w:t>
      </w:r>
    </w:p>
    <w:p w14:paraId="0CC4F8C3"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Although no a priori sample size calculation was performed (the analysis was constrained by the available archive), a post-hoc power analysis was conducted for the primary continuous outcome (time to extubation) using G*Power 3.1 (Faul et al., 2007). The Wilcoxon–Mann–Whitney test (two groups) was selected, with Cohen's d effect size of 0.81 derived from the observed group means and pooled standard deviation, the observed group sizes after pairwise missing handling (n = 18 and 46), a two-sided significance threshold of 0.05, and assumed normal parent distribution. Achieved power was 0.80, supporting the robustness of the primary inferential finding.</w:t>
      </w:r>
    </w:p>
    <w:p w14:paraId="7B87F6C0"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Multiple comparison adjustment</w:t>
      </w:r>
    </w:p>
    <w:p w14:paraId="2A122082"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For the family of intraoperative hemodynamic comparisons reported in Table 4 (16 individual tests across pre-CPB and post-CPB phases, encompassing mean MAP, VIM, ARV, AUC below 65 mmHg, mean HR, mean NIRS, mean CVP, and hypotension incidence), the Benjamini–Hochberg false discovery rate (FDR) procedure was applied to the family of raw two-sided p-values. Both unadjusted and FDR-adjusted p-values are reported in Table 4. This approach controls the expected proportion of false discoveries at the conventional 5% level while preserving statistical power more than the more conservative Bonferroni correction, and is consistent with current recommendations for hemodynamic studies involving multiple correlated indices.</w:t>
      </w:r>
    </w:p>
    <w:p w14:paraId="1475DF57"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Sensitivity analysis</w:t>
      </w:r>
    </w:p>
    <w:p w14:paraId="0905C45B"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Because cardiopulmonary bypass duration emerged as a significant predictor in Model 1 (ICU length of stay), a formal test of effect-measure modification by CPB duration was performed. An interaction term (anesthetic technique × CPB duration) was added to the log-transformed regression models for both primary outcomes (time to extubation and ICU length of stay).</w:t>
      </w:r>
    </w:p>
    <w:p w14:paraId="3D4A8FEE" w14:textId="77777777" w:rsidR="00231883" w:rsidRPr="00231883" w:rsidRDefault="00231883" w:rsidP="00231883">
      <w:pPr>
        <w:spacing w:line="360" w:lineRule="auto"/>
        <w:rPr>
          <w:rFonts w:ascii="Times New Roman" w:hAnsi="Times New Roman"/>
          <w:sz w:val="24"/>
          <w:szCs w:val="24"/>
          <w:lang/>
        </w:rPr>
      </w:pPr>
      <w:r w:rsidRPr="00231883">
        <w:rPr>
          <w:rFonts w:ascii="Times New Roman" w:hAnsi="Times New Roman"/>
          <w:b/>
          <w:bCs/>
          <w:sz w:val="24"/>
          <w:szCs w:val="24"/>
          <w:lang/>
        </w:rPr>
        <w:t>Software and significance</w:t>
      </w:r>
    </w:p>
    <w:p w14:paraId="70807221" w14:textId="77777777" w:rsidR="00231883" w:rsidRPr="00231883" w:rsidRDefault="00231883" w:rsidP="00231883">
      <w:pPr>
        <w:spacing w:line="360" w:lineRule="auto"/>
        <w:jc w:val="both"/>
        <w:rPr>
          <w:rFonts w:ascii="Times New Roman" w:hAnsi="Times New Roman"/>
          <w:sz w:val="24"/>
          <w:szCs w:val="24"/>
          <w:lang/>
        </w:rPr>
      </w:pPr>
      <w:r w:rsidRPr="00231883">
        <w:rPr>
          <w:rFonts w:ascii="Times New Roman" w:hAnsi="Times New Roman"/>
          <w:sz w:val="24"/>
          <w:szCs w:val="24"/>
          <w:lang/>
        </w:rPr>
        <w:t>All analyses were performed in Python 3.12 (Python Software Foundation). Data preparation and management were performed with pandas (v2.x) and NumPy (v1.x). Inferential statistics, including Mann–Whitney U tests, Wilcoxon-based tests, Fisher's exact test, chi-square tests, and Shapiro–Wilk normality tests, were performed using SciPy (v1.x; scipy.stats module). Multivariable linear regression models, variance inflation factor calculations, and analysis of variance for model significance were implemented in statsmodels (v0.14). Benjamini–Hochberg false discovery rate adjustment was performed using statsmodels.stats.multitest. Bootstrap confidence intervals for median differences were computed via custom resampling routines (5,000 replications). Statistical significance was set at a two-sided p-value below 0.05.</w:t>
      </w:r>
    </w:p>
    <w:p w14:paraId="21320F94" w14:textId="77777777" w:rsidR="00C5766E" w:rsidRDefault="00C5766E" w:rsidP="00C5766E">
      <w:pPr>
        <w:spacing w:line="360" w:lineRule="auto"/>
        <w:rPr>
          <w:rFonts w:ascii="Times New Roman" w:hAnsi="Times New Roman"/>
          <w:sz w:val="24"/>
          <w:szCs w:val="24"/>
        </w:rPr>
      </w:pPr>
      <w:r w:rsidRPr="00400724">
        <w:rPr>
          <w:rFonts w:ascii="Times New Roman" w:hAnsi="Times New Roman"/>
          <w:sz w:val="24"/>
          <w:szCs w:val="24"/>
        </w:rPr>
        <w:t xml:space="preserve">  </w:t>
      </w:r>
    </w:p>
    <w:p w14:paraId="188C5405" w14:textId="77777777" w:rsidR="00C5766E" w:rsidRPr="00283EBD" w:rsidRDefault="00C5766E" w:rsidP="00C5766E">
      <w:pPr>
        <w:spacing w:line="360" w:lineRule="auto"/>
        <w:rPr>
          <w:rFonts w:ascii="Times New Roman" w:hAnsi="Times New Roman"/>
          <w:sz w:val="24"/>
          <w:szCs w:val="24"/>
        </w:rPr>
      </w:pPr>
      <w:r w:rsidRPr="00400724">
        <w:rPr>
          <w:rFonts w:ascii="Times New Roman" w:hAnsi="Times New Roman"/>
          <w:b/>
          <w:sz w:val="24"/>
          <w:szCs w:val="24"/>
        </w:rPr>
        <w:t>Results</w:t>
      </w:r>
    </w:p>
    <w:p w14:paraId="4965CE25"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Baseline characteristics</w:t>
      </w:r>
    </w:p>
    <w:p w14:paraId="61A23C1A"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 xml:space="preserve">A total of 65 adult patients undergoing minimal invasive cardiac surgery were included; </w:t>
      </w:r>
      <w:r w:rsidRPr="00262D4C">
        <w:rPr>
          <w:rFonts w:ascii="Times New Roman" w:hAnsi="Times New Roman"/>
          <w:sz w:val="24"/>
          <w:szCs w:val="24"/>
          <w:highlight w:val="green"/>
          <w:lang/>
        </w:rPr>
        <w:t>18 received TCI and 47 received manually controlled TIVA.</w:t>
      </w:r>
      <w:r w:rsidRPr="00FB7E63">
        <w:rPr>
          <w:rFonts w:ascii="Times New Roman" w:hAnsi="Times New Roman"/>
          <w:sz w:val="24"/>
          <w:szCs w:val="24"/>
          <w:lang/>
        </w:rPr>
        <w:t xml:space="preserve"> The two groups did not differ significantly with respect to age, sex, body mass index, ASA physical status, or comorbidity profile, although several variables showed numerical imbalance. Median age was 42 years [IQR 32–63] in the TCI group versus 59 years [47–68] in the TIVA group (p = 0.111). Hypertension was numerically more common in the TCI group (61.1% vs 31.9%, p = 0.062), and baseline heart rate was significantly higher in TCI patients (median 90 vs 76 bpm, p = 0.023). Other baseline vital signs, ASA distribution, and the prevalence of diabetes mellitus, hypothyroidism, and other comorbidities were comparable between groups (Table 1).</w:t>
      </w:r>
    </w:p>
    <w:p w14:paraId="27E8A968"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Intraoperative and surgical characteristics</w:t>
      </w:r>
    </w:p>
    <w:p w14:paraId="23B7CD34" w14:textId="77777777" w:rsidR="00FB7E63" w:rsidRPr="00FB7E63" w:rsidRDefault="00FB7E63" w:rsidP="00FB7E63">
      <w:pPr>
        <w:spacing w:line="360" w:lineRule="auto"/>
        <w:jc w:val="both"/>
        <w:rPr>
          <w:rFonts w:ascii="Times New Roman" w:hAnsi="Times New Roman"/>
          <w:sz w:val="24"/>
          <w:szCs w:val="24"/>
          <w:lang/>
        </w:rPr>
      </w:pPr>
      <w:r w:rsidRPr="00262D4C">
        <w:rPr>
          <w:rFonts w:ascii="Times New Roman" w:hAnsi="Times New Roman"/>
          <w:sz w:val="24"/>
          <w:szCs w:val="24"/>
          <w:highlight w:val="green"/>
          <w:lang/>
        </w:rPr>
        <w:t>Cardiopulmonary bypass and aortic cross-clamp times were comparable between groups</w:t>
      </w:r>
      <w:r w:rsidRPr="00FB7E63">
        <w:rPr>
          <w:rFonts w:ascii="Times New Roman" w:hAnsi="Times New Roman"/>
          <w:sz w:val="24"/>
          <w:szCs w:val="24"/>
          <w:lang/>
        </w:rPr>
        <w:t>. The TCI group received approximately half the volume of intraoperative crystalloid fluids compared with the TIVA group (median 1,000 mL [IQR 775–1,492] vs 2,000 mL [1,500–2,500], p &lt; 0.001), a difference of substantial clinical magnitude. The proportion of patients requiring intraoperative inotropic or vasoactive support was similar (77.8% vs 76.6%), as were transfusion requirements. Total surgery and anesthesia times were nominally shorter in the TCI group, although neither difference reached statistical significance (Table 2).</w:t>
      </w:r>
    </w:p>
    <w:p w14:paraId="5D48163C"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Primary and secondary continuous outcomes</w:t>
      </w:r>
    </w:p>
    <w:p w14:paraId="3189ED8A" w14:textId="77777777" w:rsidR="00FB7E63" w:rsidRPr="00FB7E63" w:rsidRDefault="00FB7E63" w:rsidP="00FB7E63">
      <w:pPr>
        <w:spacing w:line="360" w:lineRule="auto"/>
        <w:jc w:val="both"/>
        <w:rPr>
          <w:rFonts w:ascii="Times New Roman" w:hAnsi="Times New Roman"/>
          <w:sz w:val="24"/>
          <w:szCs w:val="24"/>
          <w:lang/>
        </w:rPr>
      </w:pPr>
      <w:r w:rsidRPr="00262D4C">
        <w:rPr>
          <w:rFonts w:ascii="Times New Roman" w:hAnsi="Times New Roman"/>
          <w:sz w:val="24"/>
          <w:szCs w:val="24"/>
          <w:highlight w:val="red"/>
          <w:lang/>
        </w:rPr>
        <w:t>Patients in the TCI group had a significantly shorter ICU stay (median 22.8 hours [IQR 21.6–39.1] vs 26.0 hours [24.0–51.2]; median difference −3.2 hours, 95% CI −23.8 to +6.8; p = 0.042; rank-biserial r = +0.33).</w:t>
      </w:r>
      <w:r w:rsidRPr="00FB7E63">
        <w:rPr>
          <w:rFonts w:ascii="Times New Roman" w:hAnsi="Times New Roman"/>
          <w:sz w:val="24"/>
          <w:szCs w:val="24"/>
          <w:lang/>
        </w:rPr>
        <w:t xml:space="preserve"> </w:t>
      </w:r>
      <w:r w:rsidRPr="00262D4C">
        <w:rPr>
          <w:rFonts w:ascii="Times New Roman" w:hAnsi="Times New Roman"/>
          <w:color w:val="000000" w:themeColor="text1"/>
          <w:sz w:val="24"/>
          <w:szCs w:val="24"/>
          <w:highlight w:val="red"/>
          <w:lang/>
        </w:rPr>
        <w:t>The most pronounced outcome difference was in time to extubation, where TCI patients were extubated substantially earlier (median 188 minutes [150–280] vs 300 minutes [232–454]; median difference −112.5 minutes, 95% CI −195.0 to −35.0; p = 0.002; rank-biserial r = +0.49, a moderate-to-large effect by Cohen's conventions).</w:t>
      </w:r>
      <w:r w:rsidRPr="00262D4C">
        <w:rPr>
          <w:rFonts w:ascii="Times New Roman" w:hAnsi="Times New Roman"/>
          <w:color w:val="000000" w:themeColor="text1"/>
          <w:sz w:val="24"/>
          <w:szCs w:val="24"/>
          <w:lang/>
        </w:rPr>
        <w:t xml:space="preserve"> </w:t>
      </w:r>
      <w:r w:rsidRPr="00FB7E63">
        <w:rPr>
          <w:rFonts w:ascii="Times New Roman" w:hAnsi="Times New Roman"/>
          <w:sz w:val="24"/>
          <w:szCs w:val="24"/>
          <w:lang/>
        </w:rPr>
        <w:t xml:space="preserve">The bootstrap confidence interval for the extubation difference excluded zero and excluded clinically trivial differences, providing a robust nonparametric corroboration of the primary inferential finding. </w:t>
      </w:r>
      <w:r w:rsidRPr="00262D4C">
        <w:rPr>
          <w:rFonts w:ascii="Times New Roman" w:hAnsi="Times New Roman"/>
          <w:sz w:val="24"/>
          <w:szCs w:val="24"/>
          <w:highlight w:val="red"/>
          <w:lang/>
        </w:rPr>
        <w:t>Hospital length of stay did not differ between groups (median 8 vs 7 days, p = 0.854), a result consistent with the broader literature where discharge timing is governed by multiple non-anesthetic factors (Table 3, Figure 3).</w:t>
      </w:r>
    </w:p>
    <w:p w14:paraId="136A96A3"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Intraoperative hemodynamic stability</w:t>
      </w:r>
    </w:p>
    <w:p w14:paraId="7B2193F9"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sz w:val="24"/>
          <w:szCs w:val="24"/>
          <w:lang/>
        </w:rPr>
        <w:t xml:space="preserve">The hemodynamic stability analysis revealed a coherent pattern. </w:t>
      </w:r>
      <w:r w:rsidRPr="00262D4C">
        <w:rPr>
          <w:rFonts w:ascii="Times New Roman" w:hAnsi="Times New Roman"/>
          <w:sz w:val="24"/>
          <w:szCs w:val="24"/>
          <w:highlight w:val="yellow"/>
          <w:lang/>
        </w:rPr>
        <w:t>In the pre-CPB phase, the proportion of patients experiencing at least one hypotensive episode (MAP &lt; 65 mmHg) was significantly lower in the TCI group (16.7% vs 44.7%; OR 0.25, 95% CI 0.06–0.97; p = 0.046), and the cumulative hypotension burden as measured by the area under the MAP curve below 65 mmHg was also significantly smaller in the unadjusted comparison (p = 0.032).</w:t>
      </w:r>
      <w:r w:rsidRPr="00FB7E63">
        <w:rPr>
          <w:rFonts w:ascii="Times New Roman" w:hAnsi="Times New Roman"/>
          <w:sz w:val="24"/>
          <w:szCs w:val="24"/>
          <w:lang/>
        </w:rPr>
        <w:t xml:space="preserve"> VIM showed a non-significant trend toward lower values in the TCI group (p = 0.070). </w:t>
      </w:r>
      <w:r w:rsidRPr="00262D4C">
        <w:rPr>
          <w:rFonts w:ascii="Times New Roman" w:hAnsi="Times New Roman"/>
          <w:i/>
          <w:iCs/>
          <w:sz w:val="24"/>
          <w:szCs w:val="24"/>
          <w:highlight w:val="magenta"/>
          <w:lang/>
        </w:rPr>
        <w:t>These individual signals are concordant in direction with the reference cohort study by Bai et al. (2026) and support the hypothesis that target-controlled drug delivery yields more stable intraoperative hemodynamics during the induction-to-bypass interval (Figures 1 and 2).</w:t>
      </w:r>
      <w:r w:rsidRPr="00FB7E63">
        <w:rPr>
          <w:rFonts w:ascii="Times New Roman" w:hAnsi="Times New Roman"/>
          <w:sz w:val="24"/>
          <w:szCs w:val="24"/>
          <w:lang/>
        </w:rPr>
        <w:t xml:space="preserve"> After Benjamini–Hochberg adjustment for the 16 hemodynamic comparisons reported in Table 4, however, neither the pre-CPB hypotension burden (p_FDR = 0.121) nor the hypotension incidence (p_FDR = 0.121) retained statistical significance. </w:t>
      </w:r>
      <w:r w:rsidRPr="00262D4C">
        <w:rPr>
          <w:rFonts w:ascii="Times New Roman" w:hAnsi="Times New Roman"/>
          <w:i/>
          <w:iCs/>
          <w:sz w:val="24"/>
          <w:szCs w:val="24"/>
          <w:highlight w:val="magenta"/>
          <w:lang/>
        </w:rPr>
        <w:t>The pre-CPB findings should therefore be interpreted as suggestive rather than confirmatory, requiring corroboration in larger samples.</w:t>
      </w:r>
    </w:p>
    <w:p w14:paraId="5236B077" w14:textId="77777777" w:rsidR="00FB7E63" w:rsidRPr="00FB7E63" w:rsidRDefault="00FB7E63" w:rsidP="00FB7E63">
      <w:pPr>
        <w:spacing w:line="360" w:lineRule="auto"/>
        <w:jc w:val="both"/>
        <w:rPr>
          <w:rFonts w:ascii="Times New Roman" w:hAnsi="Times New Roman"/>
          <w:i/>
          <w:iCs/>
          <w:sz w:val="24"/>
          <w:szCs w:val="24"/>
          <w:lang/>
        </w:rPr>
      </w:pPr>
      <w:r w:rsidRPr="00262D4C">
        <w:rPr>
          <w:rFonts w:ascii="Times New Roman" w:hAnsi="Times New Roman"/>
          <w:sz w:val="24"/>
          <w:szCs w:val="24"/>
          <w:highlight w:val="red"/>
          <w:lang/>
        </w:rPr>
        <w:t>The post-CPB phase exhibited a contrasting pattern. TCI patients demonstrated higher mean MAP (median 73.3 vs 67.5 mmHg, p = 0.044) and markedly higher mean heart rate (88.0 vs 80.0 bpm, p &lt; 0.001), accompanied by lower central venous pressure (12.7 vs 17.8 mmHg, p &lt; 0.001). MAP variability indices (ARV and VIM) were also higher in the TCI group during this phase (ARV p = 0.013).</w:t>
      </w:r>
      <w:r w:rsidRPr="00FB7E63">
        <w:rPr>
          <w:rFonts w:ascii="Times New Roman" w:hAnsi="Times New Roman"/>
          <w:sz w:val="24"/>
          <w:szCs w:val="24"/>
          <w:lang/>
        </w:rPr>
        <w:t xml:space="preserve"> After multiple-comparison adjustment, the post-CPB differences in mean heart rate (r = −0.61, p_FDR = 0.002) and mean CVP (r = +0.62, p_FDR = 0.002) retained statistical significance with large effect sizes by Cohen's conventions, representing the two most robust hemodynamic findings of the study</w:t>
      </w:r>
      <w:r w:rsidRPr="00FB7E63">
        <w:rPr>
          <w:rFonts w:ascii="Times New Roman" w:hAnsi="Times New Roman"/>
          <w:i/>
          <w:iCs/>
          <w:sz w:val="24"/>
          <w:szCs w:val="24"/>
          <w:lang/>
        </w:rPr>
        <w:t>. The post-CPB profile is consistent with a more dynamic, less volume-loaded hemodynamic state at the time of bypass separation, and aligns with the substantially lower intraoperative fluid administration observed in the TCI group (Table 2; see also Figure 3). Cerebral oxygenation (NIRS) values were comparable between groups in both phases, suggesting that the differing hemodynamic trajectories did not translate into differences in cerebral perfusion adequacy (Table 4).</w:t>
      </w:r>
    </w:p>
    <w:p w14:paraId="171CAC8F"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Postoperative complications</w:t>
      </w:r>
    </w:p>
    <w:p w14:paraId="4214AFEF"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 xml:space="preserve">Postoperative complications were uncommon, and the resulting low event counts precluded inferential between-group comparison; descriptive frequencies are presented in Table 5. Pulmonary embolism, postoperative delirium, and 30-day mortality were absent across the entire cohort and are therefore not tabulated. </w:t>
      </w:r>
      <w:r w:rsidRPr="00262D4C">
        <w:rPr>
          <w:rFonts w:ascii="Times New Roman" w:hAnsi="Times New Roman"/>
          <w:b/>
          <w:bCs/>
          <w:sz w:val="24"/>
          <w:szCs w:val="24"/>
          <w:highlight w:val="red"/>
          <w:lang/>
        </w:rPr>
        <w:t>Among the reported complications,</w:t>
      </w:r>
      <w:r w:rsidRPr="00262D4C">
        <w:rPr>
          <w:rFonts w:ascii="Times New Roman" w:hAnsi="Times New Roman"/>
          <w:sz w:val="24"/>
          <w:szCs w:val="24"/>
          <w:highlight w:val="red"/>
          <w:lang/>
        </w:rPr>
        <w:t xml:space="preserve"> perioperative block or temporary pacing was the only complication with substantial frequency (n = 20, 30.8%); 19 of 20 events occurred in the TIVA arm versus 1 event in the TCI arm (Fisher's exact p = 0.007).</w:t>
      </w:r>
    </w:p>
    <w:p w14:paraId="2EAE3054" w14:textId="77777777" w:rsidR="00FB7E63" w:rsidRPr="00FB7E63" w:rsidRDefault="00FB7E63" w:rsidP="00FB7E63">
      <w:pPr>
        <w:spacing w:line="360" w:lineRule="auto"/>
        <w:jc w:val="both"/>
        <w:rPr>
          <w:rFonts w:ascii="Times New Roman" w:hAnsi="Times New Roman"/>
          <w:i/>
          <w:iCs/>
          <w:sz w:val="24"/>
          <w:szCs w:val="24"/>
          <w:lang/>
        </w:rPr>
      </w:pPr>
    </w:p>
    <w:p w14:paraId="6B80CB73"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Multivariable models</w:t>
      </w:r>
    </w:p>
    <w:p w14:paraId="4709D8D0"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Two multivariable linear regression models were fitted to assess the independent association of anesthetic technique with the two continuous outcomes, adjusting for age, ASA class, and cardiopulmonary bypass duration. In Model 1 (log-transformed ICU length of stay; Table 6), the overall model was not statistically significant (F-test p = 0.122; adjusted R² = 0.056). The coefficient for anesthetic technique was in the expected direction but did not reach statistical significance after adjustment (β = −0.187, 95% CI −0.525 to +0.151, p = 0.272), corresponding to an estimated 17.1% shorter ICU stay with TCI on the back-transformed scale. Cardiopulmonary bypass duration emerged as the only statistically significant predictor (β = +0.009 per minute, p = 0.032). In Model 2 (log-transformed time to extubation; Table 7), the overall model was statistically significant (F-test p = 0.026; adjusted R² = 0.112). The coefficient for anesthetic technique remained substantial and statistically significant after adjustment (β = −0.438, 95% CI −0.758 to −0.118, p = 0.008; standardized β = −0.35), corresponding to a 35.5% shorter time to extubation with TCI on the original scale. Variance inflation factors were all below 1.2, indicating absence of problematic multicollinearity.</w:t>
      </w:r>
    </w:p>
    <w:p w14:paraId="5FCF7BE7" w14:textId="77777777" w:rsidR="00FB7E63" w:rsidRPr="00FB7E63" w:rsidRDefault="00FB7E63" w:rsidP="00FB7E63">
      <w:pPr>
        <w:spacing w:line="360" w:lineRule="auto"/>
        <w:jc w:val="both"/>
        <w:rPr>
          <w:rFonts w:ascii="Times New Roman" w:hAnsi="Times New Roman"/>
          <w:i/>
          <w:iCs/>
          <w:sz w:val="24"/>
          <w:szCs w:val="24"/>
          <w:lang/>
        </w:rPr>
      </w:pPr>
      <w:r w:rsidRPr="00FB7E63">
        <w:rPr>
          <w:rFonts w:ascii="Times New Roman" w:hAnsi="Times New Roman"/>
          <w:b/>
          <w:bCs/>
          <w:i/>
          <w:iCs/>
          <w:sz w:val="24"/>
          <w:szCs w:val="24"/>
          <w:lang/>
        </w:rPr>
        <w:t>Sensitivity analysis: interaction with CPB duration</w:t>
      </w:r>
    </w:p>
    <w:p w14:paraId="35D12CAD"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Because cardiopulmonary bypass duration emerged as a significant predictor in the ICU length-of-stay model, a formal test of effect-measure modification was performed. The anesthetic technique × CPB duration interaction term was non-significant for both log-transformed time to extubation (β = +0.006, p = 0.983) and log-transformed ICU length of stay (β = −0.088, p = 0.787), indicating that the principal TCI effect was not modified by CPB duration.</w:t>
      </w:r>
    </w:p>
    <w:p w14:paraId="34ABC7EF" w14:textId="77777777" w:rsidR="00FB7E63" w:rsidRPr="00FB7E63" w:rsidRDefault="00FB7E63" w:rsidP="00FB7E63">
      <w:pPr>
        <w:spacing w:line="360" w:lineRule="auto"/>
        <w:jc w:val="both"/>
        <w:rPr>
          <w:rFonts w:ascii="Times New Roman" w:hAnsi="Times New Roman"/>
          <w:sz w:val="24"/>
          <w:szCs w:val="24"/>
          <w:lang/>
        </w:rPr>
      </w:pPr>
    </w:p>
    <w:p w14:paraId="4C17918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Discussion</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In this single-center retrospective cohort of 65 adults undergoing elective minimally invasive cardiac surgery (MICS) through a right mini-thoracotomy, Eleveld model-driven target-controlled infusion (TCI) was associated with three findings of unequal evidentiary weight. Time to safe extubation was shorter by a median of 112.5 minutes and by 35.5% after adjustment for age, ASA physical status, and cardiopulmonary bypass (CPB) duration, and it was the only outcome for which the achieved post-hoc power reached the conventional 0.80 threshold. The post-CPB hemodynamic profile of the TCI cohort was distinct rather than simply smoother, combining higher heart rates and lower central venous pressures with half the intraoperative crystalloid volume. New-onset conduction block or temporary pacing clustered almost entirely in the manually controlled infusion (MCI) arm, an association of large magnitude that the present design cannot separate from surgical and temporal confounding. Each of these findings is discussed in turn, with attention to what the data can and cannot support.</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The extubation finding is the most defensible result of this analysis. A median of 188 minutes from the end of anesthesia to safe extubation places the TCI cohort within the ultra-fast-track range described for MICS, and the effect persisted after multivariable adjustment (35.5% reduction, p = 0.008) and was unmodified by CPB duration (interaction p = 0.983). The direction agrees with the international multi-cohort analysis of Bai et al., in which TCI in elderly cardiac surgery patients was associated with fewer reintubations and less prolonged mechanical ventilation than MCI [9]. It also agrees with the accumulating MICS-specific literature on accelerated respiratory recovery. Wang et al. reported that operating room extubation after minimally invasive valve surgery is feasible without an excess of adverse safety events [8], Jiang et al. documented a shortening of intensive care unit (ICU) stay from 44 to 22.8 hours when ultra-fast-track cardiac anesthesia was applied in 947 MICS patients [10], and an earlier cohort from the same group achieved extubation within 0.3 hours using serratus anterior plane block-assisted ultra-fast-track anesthesia [11]. A structured MICS protocol from a high-volume Turkish center likewise sets extubation within four to six hours as the target for hemodynamically stable patients [12]. Our TCI patients met that target comfortably, and our MCI patients did not.</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What distinguishes our cohort from most published ultra-fast-track series is that the acceleration was achieved without a standardized regional analgesia protocol. In the series of Jiang et al., fascial plane blockade was one of only two positive independent predictors of successful ultra-fast-track implementation (OR 0.120 for failure), and in the ultra-fast-track cohorts of that group the analgesic technique carried much of the effect [10,11]. Our institutional pathway did not apply chest wall blocks uniformly, which leaves the infusion strategy itself as the plausible driver. Mechanistically, this is consistent with what the Eleveld model was designed to do. Weight-proportional manual infusions carry no internal account of distribution and clearance, so a fixed rate maintained through a long bypass run tends toward relative overdose and a lengthening context-sensitive decrement time. A model that incorporates age, weight, sex, and the presence of concomitant opioid administration into a single all-age parameter set should, in principle, hold the effect-site concentration closer to the intended target during maintenance and allow a more predictable decay after the infusion stops [5,6]. We could not verify this mechanism directly, because total drug consumption, target effect-site concentrations, and time-in-range for the processed electroencephalography index were not retrievable from the archived records. The mechanism therefore remains inferred rather than demonstrated.</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The post-CPB hemodynamic pattern requires a more careful reading than the pre-CPB pattern. Higher mean heart rate (88.0 vs 80.0 bpm) and lower central venous pressure (12.7 vs 17.8 mmHg) were the two comparisons that survived Benjamini-Hochberg adjustment, both with large effect sizes, and both are internally consistent with the two-fold difference in crystalloid administration (1,000 vs 2,000 mL). Taken together, these describe a leaner, less volume-loaded circulation at separation from bypass rather than a more stable one. In the specific setting of MICS this distinction matters. Peripheral femoro-femoral cannulation with vacuum-assisted venous drainage makes venous return sensitive to filling and to cannula position, and total lung deflation with re-expansion at the end of bypass carries a recognized risk of re-expansion pulmonary edema for which long bypass duration and generous fluid and plasma administration are contributing factors [13]. A restrictive intraoperative fluid strategy is therefore desirable on independent grounds, and the association observed here between TCI and lower fluid requirement is clinically meaningful even though the direction of causality is not established: a more stable induction-to-bypass course may reduce the reflex to give volume, or an anesthesiologist choosing TCI may also be an anesthesiologist practicing restrictive filling.</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The same reading applies to the higher post-CPB variability indices in the TCI group (ARV p = 0.013). Average real variability and variability independent of the mean quantify fluctuation, not adequacy, and a circulation with less volume buffer will fluctuate more in response to identical surgical and vasoactive stimuli. We do not interpret this as evidence of superior control after bypass, and we note that it runs opposite to the pre-CPB direction. Reassuringly, near-infrared spectroscopy values were comparable between groups in both phases, indicating that the more dynamic post-bypass trajectory of the TCI cohort was not accompanied by a detectable penalty in cerebral oxygenation. Bai et al. encountered an analogous phenomenon between their two cohorts, where the Union and INSPIRE populations displayed opposite variability and hypotension phenotypes, and attributed it to institutional differences in permissive post-bypass afterload management [9]. Our data support treating post-CPB volume and vasoactive policy as a site-specific modifier of any TCI-versus-MCI comparison rather than as a fixed property of the infusion technique.</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In the pre-CPB phase, the pattern was the one predicted by the pharmacological rationale, but it did not survive multiplicity adjustment. Fewer TCI patients experienced at least one hypotensive episode (16.7% vs 44.7%, OR 0.25, 95% CI 0.06-0.97) and the cumulative area under the mean arterial pressure curve below 65 mmHg was smaller, yet both p-values rose to 0.121 after correction across the 16 comparisons of Table 4, and VIM did not reach significance in either analysis. This interval concentrates the procedure's stimulus density, comprising induction, lateral tilt, initiation of one-lung ventilation, and femoral cannulation, and it is where a model-based system with continuous recalculation should differ most from stepwise manual adjustment [14-18]. That the direction was concordant with Bai et al. while the significance was not preserved is best explained by the size of the TCI arm. Eighteen patients provide little resolution for an incidence comparison, and we present these results as suggestive rather than confirmatory, in line with the conservative interpretation already adopted in the Results.</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The conduction findings are the most provocative and the least secure. Nineteen of twenty perioperative block or temporary pacing events occurred among the 47 MCI patients and one among the 18 TCI patients (Fisher's exact p = 0.007). Biological plausibility for an anesthetic contribution exists but is indirect. The atrioventricular node and the penetrating bundle lie immediately adjacent to the mitral and tricuspid annuli, so direct surgical trauma, retraction, and annular edema remain the dominant determinants of postoperative block after valve surgery, and the right mini-thoracotomy approach itself has been associated with bradycardia and atrioventricular conduction disturbance independently of the anesthetic technique [19]. If anesthetic management contributes at all, it would most plausibly do so through the perfusion conditions of the conduction tissue during and after separation from bypass: maintained diastolic and coronary perfusion pressure, avoidance of the profound sympatholysis that accompanies remifentanil accumulation, and the lower venous back-pressure suggested by the 5 mmHg difference in central venous pressure, which bears on coronary sinus drainage and myocardial interstitial edema. These are hypotheses, not conclusions. Three features of the data argue for restraint. The TCI patients were younger by a median of 17 years, their baseline heart rate was higher (90 vs 76 bpm), and the six-year enrollment window coincided with maturation of the institutional MICS program, so that the two infusion strategies are partly confounded with surgical experience and calendar time. Event sparsity precluded multivariable modelling of this endpoint, leaving an unadjusted test and an unstable effect estimate. Comparative outcome claims across evolving minimally invasive valve techniques are known to be vulnerable to exactly this kind of case-mix and temporal drift [20]. The association merits prospective evaluation with adjudicated electrocardiographic endpoints and prespecified adjustment for annular pathology and cross-clamp time. It does not, on this evidence, warrant a causal claim.</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Intensive care unit length of stay behaved as a downstream rather than a proximate endpoint. The unadjusted difference of 3.2 hours favoring TCI (p = 0.042) attenuated to non-significance once CPB duration entered the model (p = 0.272, 17.1% shorter on the back-transformed scale), and CPB duration was the only independent predictor retained (p = 0.032). Achieved power for this comparison was 21.5%. This should not be read as evidence against a TCI effect on ICU utilization. Bai et al. detected a difference of approximately one day in more than 700 propensity-matched patients [9], a magnitude that a sample of 65 cannot resolve, and ICU discharge in our unit is additionally bounded by ward availability and protocol-driven morning rounds, which compress the observable variance. The absence of any difference in hospital length of stay (8 vs 7 days, p = 0.854) is consistent with the same reasoning and with the larger MICS literature, where a two-day separation in hospital stay required 947 patients to demonstrate [10].</w:t>
      </w:r>
    </w:p>
    <w:p w14:paraId="4C17918E" w14:textId="77777777" w:rsidR="00C5766E" w:rsidRPr="00400724" w:rsidRDefault="00C5766E" w:rsidP="00C5766E">
      <w:pPr>
        <w:spacing w:line="360" w:lineRule="auto"/>
        <w:jc w:val="both"/>
        <w:rPr>
          <w:rFonts w:ascii="Times New Roman" w:hAnsi="Times New Roman"/>
          <w:sz w:val="24"/>
          <w:szCs w:val="24"/>
        </w:rPr>
      </w:pPr>
      <w:r>
        <w:rPr>
          <w:rFonts w:ascii="Times New Roman" w:hAnsi="Times New Roman"/>
          <w:b w:val="0"/>
          <w:sz w:val="24"/>
        </w:rPr>
        <w:t>Two implications follow for practice. First, Eleveld model-driven TCI appears compatible with an ultra-fast-track MICS pathway and requires no monitoring investment beyond the processed electroencephalography and cerebral oximetry already standard in these procedures. Second, it should be positioned as complementary to, not a substitute for, the other established levers of early extubation. Multimodal chest wall analgesia has the strongest evidence base among these, with serratus anterior plane blockade reducing opioid consumption after minimally invasive mitral surgery and a widening set of fascial plane techniques now described for MICS [21,22]. Combining a pharmacokinetically governed infusion with a standardized block protocol and a restrictive fluid strategy is the logical next step, and it is a testable one.</w:t>
      </w:r>
    </w:p>
    <w:p w14:paraId="41B6F859" w14:textId="77777777" w:rsidR="00C5766E" w:rsidRDefault="00C5766E" w:rsidP="00C5766E">
      <w:pPr>
        <w:spacing w:line="360" w:lineRule="auto"/>
        <w:jc w:val="both"/>
        <w:rPr>
          <w:rFonts w:ascii="Times New Roman" w:hAnsi="Times New Roman"/>
          <w:b/>
          <w:bCs/>
          <w:sz w:val="24"/>
          <w:szCs w:val="24"/>
        </w:rPr>
      </w:pPr>
      <w:r w:rsidRPr="00F80030">
        <w:rPr>
          <w:rFonts w:ascii="Times New Roman" w:hAnsi="Times New Roman"/>
          <w:b/>
          <w:bCs/>
          <w:sz w:val="24"/>
          <w:szCs w:val="24"/>
        </w:rPr>
        <w:t>Limitations</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This study has substantial limitations that constrain the strength of every inference drawn above. The design is retrospective, single-center, and non-randomized, and allocation to TCI or MCI followed the preference of the attending anesthesiologist rather than a protocol. Confounding by indication is therefore unavoidable, and the direction of that confounding is not predictable: a clinician who selects a model-driven infusion may also apply a restrictive fluid strategy, a lower opioid load, and a more determined extubation policy, none of which can be disentangled from the infusion technique in these records.</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The groups were unbalanced in ways that bear directly on the principal outcomes. The TCI arm comprised 18 patients against 47 receiving MCI, and TCI patients were younger by a median of 17 years, more frequently hypertensive (61.1% vs 31.9%), and had a significantly higher baseline heart rate (90 vs 76 bpm). The last of these deserves particular emphasis, because the post-CPB heart rate difference that survived multiplicity adjustment may in part carry a baseline difference forward rather than reflect an effect of the anesthetic technique. Age, ASA physical status, and CPB duration were entered into the multivariable models, but baseline heart rate was not, and no adjustment can compensate for a treated group of 18.</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Enrollment spanned January 2020 to July 2025, and TCI was adopted later in that window. The comparison is therefore partly a comparison between calendar periods, during which the surgical program accumulated experience, perfusion and transfusion practice evolved, and enhanced recovery expectations tightened. This temporal confounding is an alternative explanation for both the extubation advantage and the conduction block distribution, and the available records did not permit adjustment for operative date or surgeon.</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Several measurement limitations apply. Intraoperative mean arterial pressure and heart rate were sampled at five-minute intervals, which attenuates average real variability and underestimates both the incidence and the cumulative area of brief hypotensive episodes; a higher sampling frequency would likely have increased the resolution of the pre-CPB comparison. The VIM transformation depends on a regression coefficient estimated within this cohort, so the resulting values are not directly comparable with those reported elsewhere. Depth of anesthesia was monitored with either the Narcotrend index or the bispectral index rather than a single device, and neither the achieved index values nor time-in-range were recoverable. Total propofol and remifentanil consumption and the target effect-site concentrations actually set were likewise unavailable, which prevents any direct pharmacokinetic verification of the proposed mechanism.</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Outcome ascertainment for the conduction endpoint relied on retrospective review of daily electrocardiograms and continuous telemetry without independent adjudication, and the composite of new block or temporary pacing does not distinguish transient conduction disturbance from persistent block, nor does it extend to permanent pacemaker implantation after discharge. Postoperative complications were otherwise infrequent, and the resulting event counts precluded inferential comparison and multivariable modelling for all of them, including the conduction endpoint itself. No a priori sample size calculation was performed; post-hoc power reached 0.80 only for time to extubation and was 21.5% for ICU length of stay, so negative secondary findings should not be read as evidence of absence. The Benjamini-Hochberg family was defined as the 16 hemodynamic comparisons of Table 4, which is a defensible but not a unique choice, and outcomes analyzed outside that family were not corrected for multiplicity.</w:t>
      </w:r>
    </w:p>
    <w:p w14:paraId="41B6F859" w14:textId="77777777" w:rsidR="00C5766E" w:rsidRDefault="00C5766E" w:rsidP="00C5766E">
      <w:pPr>
        <w:spacing w:line="360" w:lineRule="auto"/>
        <w:jc w:val="both"/>
        <w:rPr>
          <w:rFonts w:ascii="Times New Roman" w:hAnsi="Times New Roman"/>
          <w:b/>
          <w:bCs/>
          <w:sz w:val="24"/>
          <w:szCs w:val="24"/>
        </w:rPr>
      </w:pPr>
      <w:r>
        <w:rPr>
          <w:rFonts w:ascii="Times New Roman" w:hAnsi="Times New Roman"/>
          <w:b w:val="0"/>
          <w:sz w:val="24"/>
        </w:rPr>
        <w:t>Finally, the cohort was drawn from a single tertiary center performing elective isolated mitral, tricuspid, and atrial septal defect procedures through a right mini-thoracotomy with peripheral cardiopulmonary bypass, in patients of ASA physical status III or IV without pre-existing advanced conduction disease. Findings should not be extended to sternotomy cases, to combined or emergency procedures, or to anatomically distorted presentations such as giant left atrium, where cannulation strategy and exposure differ materially [23]. The particular hazards of peripheral cannulation, including differential hypoxemia during femoro-femoral bypass, are additional site- and case-specific determinants of the intraoperative course that this analysis did not capture [24]. Regional analgesia was not standardized, chest tube drainage, pain scores, and opioid consumption were not systematically recorded, and no data on postoperative pulmonary function, patient-reported outcomes, cost, or follow-up beyond hospital discharge were collected, so the downstream consequences of earlier extubation reported in comparable MICS cohorts could not be assessed here [25].</w:t>
      </w:r>
    </w:p>
    <w:p w14:paraId="50BC88CB" w14:textId="7C9EAE7B" w:rsidR="00FB7E63" w:rsidRDefault="00FB7E63" w:rsidP="00C5766E">
      <w:pPr>
        <w:spacing w:line="360" w:lineRule="auto"/>
        <w:jc w:val="both"/>
        <w:rPr>
          <w:rFonts w:ascii="Times New Roman" w:hAnsi="Times New Roman"/>
          <w:b/>
          <w:bCs/>
          <w:sz w:val="24"/>
          <w:szCs w:val="24"/>
        </w:rPr>
      </w:pPr>
      <w:r>
        <w:rPr>
          <w:rFonts w:ascii="Times New Roman" w:hAnsi="Times New Roman"/>
          <w:b/>
          <w:bCs/>
          <w:sz w:val="24"/>
          <w:szCs w:val="24"/>
        </w:rPr>
        <w:t>Conclusion</w:t>
      </w:r>
    </w:p>
    <w:p w14:paraId="567D8256"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This single-center retrospective analysis of 65 adults undergoing minimal invasive cardiac surgery yielded three principal findings, supported by a coherent set of pre-specified analyses including multivariable adjustment, false discovery rate correction, post-hoc power analysis, and a formal test of effect-measure modification by cardiopulmonary bypass duration.</w:t>
      </w:r>
    </w:p>
    <w:p w14:paraId="27FDFAD4"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First, target-controlled infusion was associated with substantially earlier postoperative extubation (median 188 vs 300 minutes; adjusted reduction of 35.5%, p = 0.008). Post-hoc G*Power analytic power for this comparison was 0.80, and a formal test of effect-measure modification by cardiopulmonary bypass duration was non-significant (interaction p = 0.983), supporting the robustness of this finding as the most stable result of the study.</w:t>
      </w:r>
    </w:p>
    <w:p w14:paraId="558C6BD5"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 xml:space="preserve">Second, in the post-CPB phase, patients in the TCI group exhibited markedly higher mean heart rate (88.0 vs 80.0 bpm) and lower central venous pressure (12.7 vs 17.8 mmHg) than TIVA patients; both differences remained statistically significant after Benjamini–Hochberg adjustment for the 16 hemodynamic comparisons in Table 4 (p_FDR = 0.002 for both), representing the two most robust hemodynamic findings of the analysis. </w:t>
      </w:r>
    </w:p>
    <w:p w14:paraId="0711BBE6"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Third, intraoperative pre-CPB hemodynamic stability favored TCI in direction and magnitude (fewer hypotensive episodes, smaller AUC below 65 mmHg, lower MAP variability), but these individual comparisons did not retain statistical significance after multiple-comparison adjustment. They are therefore interpreted as suggestive rather than confirmatory and should be corroborated in larger samples.</w:t>
      </w:r>
    </w:p>
    <w:p w14:paraId="4E622126" w14:textId="77777777" w:rsidR="00FB7E63" w:rsidRPr="00FB7E63" w:rsidRDefault="00FB7E63" w:rsidP="00FB7E63">
      <w:pPr>
        <w:spacing w:line="360" w:lineRule="auto"/>
        <w:jc w:val="both"/>
        <w:rPr>
          <w:rFonts w:ascii="Times New Roman" w:hAnsi="Times New Roman"/>
          <w:sz w:val="24"/>
          <w:szCs w:val="24"/>
          <w:lang/>
        </w:rPr>
      </w:pPr>
      <w:r w:rsidRPr="00FB7E63">
        <w:rPr>
          <w:rFonts w:ascii="Times New Roman" w:hAnsi="Times New Roman"/>
          <w:sz w:val="24"/>
          <w:szCs w:val="24"/>
          <w:lang/>
        </w:rPr>
        <w:t>ICU length of stay was nominally shorter in the TCI group in the unadjusted comparison (p = 0.042) but did not retain statistical significance after adjustment for cardiopulmonary bypass duration (p = 0.272 adjusted). Post-hoc power for this secondary outcome was 21.5%, indicating limited statistical sensitivity. Cerebral oxygenation by NIRS was preserved across both groups in both phases, indicating that the differing hemodynamic trajectories were not accompanied by detectable differences in cerebral perfusion adequacy. The overall pattern of findings is broadly consistent with the larger multicenter cohort of Bai et al. (2026), while highlighting institution-specific differences in post-bypass volume management as a likely modifier of the post-CPB hemodynamic phenotype.</w:t>
      </w:r>
    </w:p>
    <w:p w14:paraId="3192ED05" w14:textId="77777777" w:rsidR="00FB7E63" w:rsidRDefault="00FB7E63" w:rsidP="00C5766E">
      <w:pPr>
        <w:spacing w:line="360" w:lineRule="auto"/>
        <w:jc w:val="both"/>
        <w:rPr>
          <w:rFonts w:ascii="Times New Roman" w:hAnsi="Times New Roman"/>
          <w:b/>
          <w:bCs/>
          <w:sz w:val="24"/>
          <w:szCs w:val="24"/>
        </w:rPr>
      </w:pPr>
    </w:p>
    <w:p w14:paraId="741383B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Disclosures</w:t>
      </w:r>
    </w:p>
    <w:p w14:paraId="2BB1F9E6"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 xml:space="preserve">-Our study was conducted after obtaining approval from the Hacettepe University Non-Interventional Clinical Researches Ethics Board. </w:t>
      </w:r>
    </w:p>
    <w:p w14:paraId="65CCB95B"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-Source of funding: None</w:t>
      </w:r>
    </w:p>
    <w:p w14:paraId="7C93EA32" w14:textId="1430CF1F" w:rsidR="00C5766E"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-Conflict of Interest: None</w:t>
      </w:r>
    </w:p>
    <w:p w14:paraId="073BDD8B" w14:textId="77777777" w:rsidR="003315F4" w:rsidRDefault="003315F4" w:rsidP="00C5766E">
      <w:pPr>
        <w:spacing w:line="360" w:lineRule="auto"/>
        <w:jc w:val="both"/>
        <w:rPr>
          <w:rFonts w:ascii="Times New Roman" w:hAnsi="Times New Roman"/>
          <w:b/>
          <w:sz w:val="24"/>
          <w:szCs w:val="24"/>
        </w:rPr>
      </w:pPr>
    </w:p>
    <w:p w14:paraId="51814BB1" w14:textId="77C97935" w:rsidR="00363793" w:rsidRDefault="00C5766E" w:rsidP="00C5766E">
      <w:pPr>
        <w:spacing w:line="360" w:lineRule="auto"/>
        <w:jc w:val="both"/>
        <w:rPr>
          <w:rFonts w:ascii="Times New Roman" w:hAnsi="Times New Roman"/>
          <w:b/>
          <w:sz w:val="24"/>
          <w:szCs w:val="24"/>
        </w:rPr>
      </w:pPr>
      <w:r w:rsidRPr="00AE0594">
        <w:rPr>
          <w:rFonts w:ascii="Times New Roman" w:hAnsi="Times New Roman"/>
          <w:b/>
          <w:sz w:val="24"/>
          <w:szCs w:val="24"/>
        </w:rPr>
        <w:t>References</w:t>
      </w:r>
    </w:p>
    <w:p w14:paraId="38691AEA" w14:textId="77777777" w:rsidR="00363793" w:rsidRDefault="00363793" w:rsidP="00C5766E">
      <w:pPr>
        <w:spacing w:line="360" w:lineRule="auto"/>
        <w:jc w:val="both"/>
        <w:rPr>
          <w:rFonts w:ascii="Times New Roman" w:hAnsi="Times New Roman"/>
          <w:b/>
          <w:sz w:val="24"/>
          <w:szCs w:val="24"/>
        </w:rPr>
      </w:pPr>
    </w:p>
    <w:p w14:paraId="4A92C986" w14:textId="77777777" w:rsidR="00532838" w:rsidRPr="006A55E5" w:rsidRDefault="00363793" w:rsidP="006A55E5">
      <w:pPr>
        <w:pStyle w:val="EndNoteBibliography"/>
        <w:spacing w:line="480" w:lineRule="auto"/>
        <w:ind w:left="720" w:hanging="720"/>
        <w:rPr>
          <w:rFonts w:ascii="Times New Roman" w:eastAsia="Calibri" w:hAnsi="Times New Roman" w:cs="Times New Roman"/>
          <w:noProof w:val="0"/>
          <w:sz w:val="24"/>
        </w:rPr>
      </w:pPr>
      <w:r w:rsidR="00532838" w:rsidRPr="006A55E5">
        <w:rPr>
          <w:rFonts w:ascii="Times New Roman" w:eastAsia="Calibri" w:hAnsi="Times New Roman" w:cs="Times New Roman"/>
          <w:noProof w:val="0"/>
          <w:sz w:val="24"/>
        </w:rPr>
        <w:t>1.</w:t>
      </w:r>
      <w:r w:rsidR="00532838" w:rsidRPr="006A55E5">
        <w:rPr>
          <w:rFonts w:ascii="Times New Roman" w:eastAsia="Calibri" w:hAnsi="Times New Roman" w:cs="Times New Roman"/>
          <w:noProof w:val="0"/>
          <w:sz w:val="24"/>
        </w:rPr>
        <w:tab/>
        <w:t>Ishikawa, N. and G. Watanabe, Robot-assisted cardiac surgery. Ann Thorac Cardiovasc Surg, 2015. 21(4): p. 322-8.</w:t>
      </w:r>
    </w:p>
    <w:p w14:paraId="3B74CDF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2.</w:t>
      </w:r>
      <w:r w:rsidRPr="006A55E5">
        <w:rPr>
          <w:rFonts w:ascii="Times New Roman" w:eastAsia="Calibri" w:hAnsi="Times New Roman" w:cs="Times New Roman"/>
          <w:noProof w:val="0"/>
          <w:sz w:val="24"/>
        </w:rPr>
        <w:tab/>
        <w:t>Vernick, W. and P. Atluri, Robotic and minimally invasive cardiac surgery. Anesthesiol Clin, 2013. 31(2): p. 299-320.</w:t>
      </w:r>
    </w:p>
    <w:p w14:paraId="1EE1335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3.</w:t>
      </w:r>
      <w:r w:rsidRPr="006A55E5">
        <w:rPr>
          <w:rFonts w:ascii="Times New Roman" w:eastAsia="Calibri" w:hAnsi="Times New Roman" w:cs="Times New Roman"/>
          <w:noProof w:val="0"/>
          <w:sz w:val="24"/>
        </w:rPr>
        <w:tab/>
        <w:t>Vernick, W.J. and J.Y. Woo, Anesthetic considerations during minimally invasive mitral valve surgery. Semin Cardiothorac Vasc Anesth, 2012. 16(1): p. 11-24.</w:t>
      </w:r>
    </w:p>
    <w:p w14:paraId="1858B87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4.</w:t>
      </w:r>
      <w:r w:rsidRPr="006A55E5">
        <w:rPr>
          <w:rFonts w:ascii="Times New Roman" w:eastAsia="Calibri" w:hAnsi="Times New Roman" w:cs="Times New Roman"/>
          <w:noProof w:val="0"/>
          <w:sz w:val="24"/>
        </w:rPr>
        <w:tab/>
        <w:t>Kesävuori, R., et al., Minimal volume ventilation during robotically assisted mitral valve surgery. Perfusion, 2019. 34(8): p. 705-713.</w:t>
      </w:r>
    </w:p>
    <w:p w14:paraId="6DEB12F1"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5.</w:t>
      </w:r>
      <w:r w:rsidRPr="006A55E5">
        <w:rPr>
          <w:rFonts w:ascii="Times New Roman" w:eastAsia="Calibri" w:hAnsi="Times New Roman" w:cs="Times New Roman"/>
          <w:noProof w:val="0"/>
          <w:sz w:val="24"/>
        </w:rPr>
        <w:tab/>
        <w:t>Eleveld, D.J., et al., Pharmacokinetic-pharmacodynamic model for propofol for broad application in anaesthesia and sedation. Br J Anaesth, 2018. 120(5): p. 942-959.</w:t>
      </w:r>
    </w:p>
    <w:p w14:paraId="0A1EBC4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6.</w:t>
      </w:r>
      <w:r w:rsidRPr="006A55E5">
        <w:rPr>
          <w:rFonts w:ascii="Times New Roman" w:eastAsia="Calibri" w:hAnsi="Times New Roman" w:cs="Times New Roman"/>
          <w:noProof w:val="0"/>
          <w:sz w:val="24"/>
        </w:rPr>
        <w:tab/>
        <w:t>Eleveld, D.J., et al., A general purpose pharmacokinetic model for propofol. Anesth Analg, 2014. 118(6): p. 1221-37.</w:t>
      </w:r>
    </w:p>
    <w:p w14:paraId="69D25B12"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7.</w:t>
      </w:r>
      <w:r w:rsidRPr="006A55E5">
        <w:rPr>
          <w:rFonts w:ascii="Times New Roman" w:eastAsia="Calibri" w:hAnsi="Times New Roman" w:cs="Times New Roman"/>
          <w:noProof w:val="0"/>
          <w:sz w:val="24"/>
        </w:rPr>
        <w:tab/>
        <w:t>Kwon, S.A., et al., Intraoperative awareness during sevoflurane-remifentanil anesthesia for minimal invasive mitral valvuloplasty: A case report. Korean J Anesthesiol, 2009. 57(1): p. 100-103.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8.</w:t>
      </w:r>
      <w:r w:rsidRPr="006A55E5">
        <w:rPr>
          <w:rFonts w:ascii="Times New Roman" w:eastAsia="Calibri" w:hAnsi="Times New Roman" w:cs="Times New Roman"/>
          <w:noProof w:val="0"/>
          <w:sz w:val="24"/>
        </w:rPr>
        <w:tab/>
        <w:t>Wang, C.C., et al., Safe Landing: Feasibility and Safety of Operating Room Extubation in Minimally Invasive Cardiac Valve Surgery. J Cardiothorac Vasc Anesth, 2024. 38(12): p. 2965-2972.</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9.</w:t>
        <w:tab/>
        <w:t>Bai, Y.X., et al., Association of target-controlled versus manually controlled infusion with postoperative recovery outcomes in elderly cardiac surgery patients: an international multi-cohort study. J Clin Anesth, 2026. 111: p. 112161.</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10.</w:t>
        <w:tab/>
        <w:t>Jiang, T., et al., Implementing Ultra-Fast-Track Cardiac Anesthesia in Minimally Invasive Cardiac Surgery. J Cardiothorac Vasc Anesth, 2025. 39(8): p. 2031-2039.</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11.</w:t>
        <w:tab/>
        <w:t>Jiang, S., et al., The Clinical Application of Ultra-Fast-Track Cardiac Anesthesia in Right-Thoracoscopic Minimally Invasive Cardiac Surgery: A Retrospective Observational Study. J Cardiothorac Vasc Anesth, 2023. 37(5): p. 700-706.</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12.</w:t>
        <w:tab/>
        <w:t>Demir, Z.A. and H.L. Mavioglu, Anesthesia Management in Minimally Invasive Cardiac Surgery: A Comprehensive Protocol. GKDA Derg, 2025. 31(2): p. 63-70.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13.</w:t>
        <w:tab/>
        <w:t>Piekarski, F., et al., Anesthesia for Minimal Invasive Cardiac Surgery: The Bonn Heart Center Protocol. J Clin Med, 2024. 13(13): p. 3939.</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14.</w:t>
        <w:tab/>
        <w:t>Aston, D., D. Zeloof, and F. Falter, Anaesthesia for Minimally Invasive Cardiac Surgery. J Cardiovasc Dev Dis, 2023. 10(11): p. 462.</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15.</w:t>
        <w:tab/>
        <w:t>White, A., C. Patvardhan, and F. Falter, Anesthesia for minimally invasive cardiac surgery. J Thorac Dis, 2021. 13(3): p. 1886-1898.</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16.</w:t>
        <w:tab/>
        <w:t>Parnell, A. and M. Prince, Anaesthesia for minimally invasive cardiac surgery. BJA Educ, 2018. 18(10): p. 323-330.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17.</w:t>
        <w:tab/>
        <w:t>Ganapathy, S., Anaesthesia for minimally invasive cardiac surgery. Best Pract Res Clin Anaesthesiol, 2002. 16(1): p. 63-80.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18.</w:t>
        <w:tab/>
        <w:t>Malik, V., A.K. Jha, and P.M. Kapoor, Anesthetic challenges in minimally invasive cardiac surgery: Are we moving in a right direction? Ann Card Anaesth, 2016. 19(3): p. 489-497.</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19.</w:t>
        <w:tab/>
        <w:t>Balasubramanyam, U. and P.M. Kapoor, Anesthetic Challenges in Minimally Invasive Cardiac Surgery. J Card Crit Care TSS, 2020. 3(1): p. 28-35.</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20.</w:t>
        <w:tab/>
        <w:t>Rosengart, T.K., et al., Percutaneous and minimally invasive valve procedures: a scientific statement from the American Heart Association. Circulation, 2008. 117(13): p. 1750-1767.</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21.</w:t>
        <w:tab/>
        <w:t>Marianello, D., et al., Deep Serratus Anterior Plane Block for Multimodal Analgesia in Minimally Invasive Mitral Valve Surgery Performed via Right Anterior Mini-Thoracotomy. J Cardiothorac Vasc Anesth, 2025. 39(4): p. 941-948.</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22.</w:t>
        <w:tab/>
        <w:t>Yuan, K., et al., Advances in Anesthesia Techniques for Postoperative Pain Management in Minimally Invasive Cardiac Surgery: An Expert Opinion. J Cardiothorac Vasc Anesth, 2025. 39(4): p. 1026-1036.</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23.</w:t>
        <w:tab/>
        <w:t>Altawil, L., et al., Minimally Invasive Mitral Valve Replacement in a Patient With a Giant Left Atrium. Cureus, 2025. 17(6): p. e85423.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24.</w:t>
        <w:tab/>
        <w:t>Aquilina, J., et al., Differential hypoxemia during peripheral cardiopulmonary bypass. Perfusion, 2025. 40(5): p. 1291-1293.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b w:val="0"/>
          <w:sz w:val="24"/>
        </w:rPr>
        <w:t>25.</w:t>
        <w:tab/>
        <w:t>Jiang, T., et al., Ultra-fast-track cardiac anesthesia in minimally invasive cardiac surgery: a retrospective observational study. Cardiovasc Diagn Ther, 2024. 14(5): p. 740-752.</w:t>
      </w:r>
    </w:p>
    <w:p w14:paraId="518C805E" w14:textId="45FCBD9F" w:rsidR="00C5766E" w:rsidRPr="00AE0594" w:rsidRDefault="00363793" w:rsidP="006A55E5">
      <w:pPr>
        <w:spacing w:line="480" w:lineRule="auto"/>
        <w:jc w:val="both"/>
        <w:rPr>
          <w:rFonts w:ascii="Times New Roman" w:hAnsi="Times New Roman"/>
          <w:sz w:val="24"/>
          <w:szCs w:val="24"/>
        </w:rPr>
      </w:pPr>
    </w:p>
    <w:sectPr w:rsidR="00C5766E" w:rsidRPr="00AE0594" w:rsidSect="00C3359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6241" w14:textId="77777777" w:rsidR="00AC5FAA" w:rsidRDefault="00AC5FAA">
      <w:pPr>
        <w:spacing w:after="0" w:line="240" w:lineRule="auto"/>
      </w:pPr>
      <w:r>
        <w:separator/>
      </w:r>
    </w:p>
  </w:endnote>
  <w:endnote w:type="continuationSeparator" w:id="0">
    <w:p w14:paraId="2C09B950" w14:textId="77777777" w:rsidR="00AC5FAA" w:rsidRDefault="00AC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194752"/>
      <w:docPartObj>
        <w:docPartGallery w:val="Page Numbers (Bottom of Page)"/>
        <w:docPartUnique/>
      </w:docPartObj>
    </w:sdtPr>
    <w:sdtEndPr>
      <w:rPr>
        <w:rStyle w:val="PageNumber"/>
      </w:rPr>
    </w:sdtEndPr>
    <w:sdtContent>
      <w:p w14:paraId="3A47D09B" w14:textId="77777777" w:rsidR="006809D3" w:rsidRDefault="00717D37"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A8FEA" w14:textId="77777777" w:rsidR="006809D3" w:rsidRDefault="00680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951255"/>
      <w:docPartObj>
        <w:docPartGallery w:val="Page Numbers (Bottom of Page)"/>
        <w:docPartUnique/>
      </w:docPartObj>
    </w:sdtPr>
    <w:sdtEndPr>
      <w:rPr>
        <w:rStyle w:val="PageNumber"/>
      </w:rPr>
    </w:sdtEndPr>
    <w:sdtContent>
      <w:p w14:paraId="6E05CE3A" w14:textId="77777777" w:rsidR="006809D3" w:rsidRDefault="00717D37"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C58998" w14:textId="77777777" w:rsidR="006809D3" w:rsidRDefault="00680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BBF37" w14:textId="77777777" w:rsidR="00AC5FAA" w:rsidRDefault="00AC5FAA">
      <w:pPr>
        <w:spacing w:after="0" w:line="240" w:lineRule="auto"/>
      </w:pPr>
      <w:r>
        <w:separator/>
      </w:r>
    </w:p>
  </w:footnote>
  <w:footnote w:type="continuationSeparator" w:id="0">
    <w:p w14:paraId="5BEAFA39" w14:textId="77777777" w:rsidR="00AC5FAA" w:rsidRDefault="00AC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47EB"/>
    <w:multiLevelType w:val="multilevel"/>
    <w:tmpl w:val="89E4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367BE"/>
    <w:multiLevelType w:val="multilevel"/>
    <w:tmpl w:val="7FC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D2135"/>
    <w:multiLevelType w:val="multilevel"/>
    <w:tmpl w:val="3954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62335"/>
    <w:multiLevelType w:val="hybridMultilevel"/>
    <w:tmpl w:val="5026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B696C"/>
    <w:multiLevelType w:val="multilevel"/>
    <w:tmpl w:val="3FF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F7A90"/>
    <w:multiLevelType w:val="multilevel"/>
    <w:tmpl w:val="64BC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035255">
    <w:abstractNumId w:val="3"/>
  </w:num>
  <w:num w:numId="2" w16cid:durableId="1494027689">
    <w:abstractNumId w:val="2"/>
  </w:num>
  <w:num w:numId="3" w16cid:durableId="1673989969">
    <w:abstractNumId w:val="5"/>
  </w:num>
  <w:num w:numId="4" w16cid:durableId="1795514121">
    <w:abstractNumId w:val="1"/>
  </w:num>
  <w:num w:numId="5" w16cid:durableId="1596205482">
    <w:abstractNumId w:val="0"/>
  </w:num>
  <w:num w:numId="6" w16cid:durableId="143670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rfzztal09wdseevp95f9xqwedz25rttts9&quot;&gt;MinimalMvr2026&lt;record-ids&gt;&lt;item&gt;1&lt;/item&gt;&lt;item&gt;2&lt;/item&gt;&lt;item&gt;3&lt;/item&gt;&lt;item&gt;4&lt;/item&gt;&lt;item&gt;5&lt;/item&gt;&lt;item&gt;7&lt;/item&gt;&lt;item&gt;8&lt;/item&gt;&lt;item&gt;9&lt;/item&gt;&lt;/record-ids&gt;&lt;/item&gt;&lt;/Libraries&gt;"/>
  </w:docVars>
  <w:rsids>
    <w:rsidRoot w:val="001944C9"/>
    <w:rsid w:val="00036A16"/>
    <w:rsid w:val="000B7F24"/>
    <w:rsid w:val="001321F1"/>
    <w:rsid w:val="001944C9"/>
    <w:rsid w:val="001A2FC7"/>
    <w:rsid w:val="001E02F9"/>
    <w:rsid w:val="001F6C71"/>
    <w:rsid w:val="0020466A"/>
    <w:rsid w:val="00231883"/>
    <w:rsid w:val="00240EA0"/>
    <w:rsid w:val="00244A77"/>
    <w:rsid w:val="00247887"/>
    <w:rsid w:val="00250E2F"/>
    <w:rsid w:val="00251039"/>
    <w:rsid w:val="00262D4C"/>
    <w:rsid w:val="0027123B"/>
    <w:rsid w:val="0029479A"/>
    <w:rsid w:val="003315F4"/>
    <w:rsid w:val="003517DA"/>
    <w:rsid w:val="00363793"/>
    <w:rsid w:val="003E67D9"/>
    <w:rsid w:val="004006BA"/>
    <w:rsid w:val="00446304"/>
    <w:rsid w:val="004464F0"/>
    <w:rsid w:val="004B242F"/>
    <w:rsid w:val="00532838"/>
    <w:rsid w:val="00586373"/>
    <w:rsid w:val="005D2824"/>
    <w:rsid w:val="006809D3"/>
    <w:rsid w:val="006A55E5"/>
    <w:rsid w:val="006C6890"/>
    <w:rsid w:val="00703CFD"/>
    <w:rsid w:val="00717D37"/>
    <w:rsid w:val="00766322"/>
    <w:rsid w:val="007831BF"/>
    <w:rsid w:val="007E06F1"/>
    <w:rsid w:val="007E6BC9"/>
    <w:rsid w:val="00801AA9"/>
    <w:rsid w:val="00804B28"/>
    <w:rsid w:val="008D538E"/>
    <w:rsid w:val="00951798"/>
    <w:rsid w:val="009A6916"/>
    <w:rsid w:val="009F4FB4"/>
    <w:rsid w:val="009F61F1"/>
    <w:rsid w:val="00A07CA6"/>
    <w:rsid w:val="00A17429"/>
    <w:rsid w:val="00AC5FAA"/>
    <w:rsid w:val="00B0674C"/>
    <w:rsid w:val="00B26202"/>
    <w:rsid w:val="00B85EC6"/>
    <w:rsid w:val="00C33597"/>
    <w:rsid w:val="00C438A3"/>
    <w:rsid w:val="00C47890"/>
    <w:rsid w:val="00C5766E"/>
    <w:rsid w:val="00C70B99"/>
    <w:rsid w:val="00C77223"/>
    <w:rsid w:val="00C8734E"/>
    <w:rsid w:val="00CD68D4"/>
    <w:rsid w:val="00CF25EE"/>
    <w:rsid w:val="00D25E84"/>
    <w:rsid w:val="00D26D5D"/>
    <w:rsid w:val="00D4134C"/>
    <w:rsid w:val="00E15EA1"/>
    <w:rsid w:val="00EC09BF"/>
    <w:rsid w:val="00EF44A7"/>
    <w:rsid w:val="00FB7E63"/>
    <w:rsid w:val="00FC0AC9"/>
    <w:rsid w:val="00FD73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9223F"/>
  <w15:chartTrackingRefBased/>
  <w15:docId w15:val="{CF777E4D-FD7C-714B-878A-C7AC6784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97"/>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944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Heading2">
    <w:name w:val="heading 2"/>
    <w:basedOn w:val="Normal"/>
    <w:next w:val="Normal"/>
    <w:link w:val="Heading2Char"/>
    <w:uiPriority w:val="9"/>
    <w:unhideWhenUsed/>
    <w:qFormat/>
    <w:rsid w:val="001944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Heading3">
    <w:name w:val="heading 3"/>
    <w:basedOn w:val="Normal"/>
    <w:next w:val="Normal"/>
    <w:link w:val="Heading3Char"/>
    <w:uiPriority w:val="9"/>
    <w:semiHidden/>
    <w:unhideWhenUsed/>
    <w:qFormat/>
    <w:rsid w:val="001944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Heading4">
    <w:name w:val="heading 4"/>
    <w:basedOn w:val="Normal"/>
    <w:next w:val="Normal"/>
    <w:link w:val="Heading4Char"/>
    <w:uiPriority w:val="9"/>
    <w:semiHidden/>
    <w:unhideWhenUsed/>
    <w:qFormat/>
    <w:rsid w:val="001944C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tr-TR"/>
      <w14:ligatures w14:val="standardContextual"/>
    </w:rPr>
  </w:style>
  <w:style w:type="paragraph" w:styleId="Heading5">
    <w:name w:val="heading 5"/>
    <w:basedOn w:val="Normal"/>
    <w:next w:val="Normal"/>
    <w:link w:val="Heading5Char"/>
    <w:uiPriority w:val="9"/>
    <w:semiHidden/>
    <w:unhideWhenUsed/>
    <w:qFormat/>
    <w:rsid w:val="001944C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tr-TR"/>
      <w14:ligatures w14:val="standardContextual"/>
    </w:rPr>
  </w:style>
  <w:style w:type="paragraph" w:styleId="Heading6">
    <w:name w:val="heading 6"/>
    <w:basedOn w:val="Normal"/>
    <w:next w:val="Normal"/>
    <w:link w:val="Heading6Char"/>
    <w:uiPriority w:val="9"/>
    <w:semiHidden/>
    <w:unhideWhenUsed/>
    <w:qFormat/>
    <w:rsid w:val="001944C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Heading7">
    <w:name w:val="heading 7"/>
    <w:basedOn w:val="Normal"/>
    <w:next w:val="Normal"/>
    <w:link w:val="Heading7Char"/>
    <w:uiPriority w:val="9"/>
    <w:semiHidden/>
    <w:unhideWhenUsed/>
    <w:qFormat/>
    <w:rsid w:val="001944C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Heading8">
    <w:name w:val="heading 8"/>
    <w:basedOn w:val="Normal"/>
    <w:next w:val="Normal"/>
    <w:link w:val="Heading8Char"/>
    <w:uiPriority w:val="9"/>
    <w:semiHidden/>
    <w:unhideWhenUsed/>
    <w:qFormat/>
    <w:rsid w:val="001944C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Heading9">
    <w:name w:val="heading 9"/>
    <w:basedOn w:val="Normal"/>
    <w:next w:val="Normal"/>
    <w:link w:val="Heading9Char"/>
    <w:uiPriority w:val="9"/>
    <w:semiHidden/>
    <w:unhideWhenUsed/>
    <w:qFormat/>
    <w:rsid w:val="001944C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C9"/>
    <w:rPr>
      <w:rFonts w:eastAsiaTheme="majorEastAsia" w:cstheme="majorBidi"/>
      <w:color w:val="272727" w:themeColor="text1" w:themeTint="D8"/>
    </w:rPr>
  </w:style>
  <w:style w:type="paragraph" w:styleId="Title">
    <w:name w:val="Title"/>
    <w:basedOn w:val="Normal"/>
    <w:next w:val="Normal"/>
    <w:link w:val="TitleChar"/>
    <w:uiPriority w:val="10"/>
    <w:qFormat/>
    <w:rsid w:val="001944C9"/>
    <w:pPr>
      <w:spacing w:after="80" w:line="240" w:lineRule="auto"/>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TitleChar">
    <w:name w:val="Title Char"/>
    <w:basedOn w:val="DefaultParagraphFont"/>
    <w:link w:val="Title"/>
    <w:uiPriority w:val="10"/>
    <w:rsid w:val="0019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SubtitleChar">
    <w:name w:val="Subtitle Char"/>
    <w:basedOn w:val="DefaultParagraphFont"/>
    <w:link w:val="Subtitle"/>
    <w:uiPriority w:val="11"/>
    <w:rsid w:val="0019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C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QuoteChar">
    <w:name w:val="Quote Char"/>
    <w:basedOn w:val="DefaultParagraphFont"/>
    <w:link w:val="Quote"/>
    <w:uiPriority w:val="29"/>
    <w:rsid w:val="001944C9"/>
    <w:rPr>
      <w:i/>
      <w:iCs/>
      <w:color w:val="404040" w:themeColor="text1" w:themeTint="BF"/>
    </w:rPr>
  </w:style>
  <w:style w:type="paragraph" w:styleId="ListParagraph">
    <w:name w:val="List Paragraph"/>
    <w:basedOn w:val="Normal"/>
    <w:uiPriority w:val="34"/>
    <w:qFormat/>
    <w:rsid w:val="001944C9"/>
    <w:pPr>
      <w:spacing w:after="160" w:line="278" w:lineRule="auto"/>
      <w:ind w:left="720"/>
      <w:contextualSpacing/>
    </w:pPr>
    <w:rPr>
      <w:rFonts w:asciiTheme="minorHAnsi" w:eastAsiaTheme="minorHAnsi" w:hAnsiTheme="minorHAnsi" w:cstheme="minorBidi"/>
      <w:kern w:val="2"/>
      <w:sz w:val="24"/>
      <w:szCs w:val="24"/>
      <w:lang w:val="tr-TR"/>
      <w14:ligatures w14:val="standardContextual"/>
    </w:rPr>
  </w:style>
  <w:style w:type="character" w:styleId="IntenseEmphasis">
    <w:name w:val="Intense Emphasis"/>
    <w:basedOn w:val="DefaultParagraphFont"/>
    <w:uiPriority w:val="21"/>
    <w:qFormat/>
    <w:rsid w:val="001944C9"/>
    <w:rPr>
      <w:i/>
      <w:iCs/>
      <w:color w:val="0F4761" w:themeColor="accent1" w:themeShade="BF"/>
    </w:rPr>
  </w:style>
  <w:style w:type="paragraph" w:styleId="IntenseQuote">
    <w:name w:val="Intense Quote"/>
    <w:basedOn w:val="Normal"/>
    <w:next w:val="Normal"/>
    <w:link w:val="IntenseQuoteChar"/>
    <w:uiPriority w:val="30"/>
    <w:qFormat/>
    <w:rsid w:val="001944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tr-TR"/>
      <w14:ligatures w14:val="standardContextual"/>
    </w:rPr>
  </w:style>
  <w:style w:type="character" w:customStyle="1" w:styleId="IntenseQuoteChar">
    <w:name w:val="Intense Quote Char"/>
    <w:basedOn w:val="DefaultParagraphFont"/>
    <w:link w:val="IntenseQuote"/>
    <w:uiPriority w:val="30"/>
    <w:rsid w:val="001944C9"/>
    <w:rPr>
      <w:i/>
      <w:iCs/>
      <w:color w:val="0F4761" w:themeColor="accent1" w:themeShade="BF"/>
    </w:rPr>
  </w:style>
  <w:style w:type="character" w:styleId="IntenseReference">
    <w:name w:val="Intense Reference"/>
    <w:basedOn w:val="DefaultParagraphFont"/>
    <w:uiPriority w:val="32"/>
    <w:qFormat/>
    <w:rsid w:val="001944C9"/>
    <w:rPr>
      <w:b/>
      <w:bCs/>
      <w:smallCaps/>
      <w:color w:val="0F4761" w:themeColor="accent1" w:themeShade="BF"/>
      <w:spacing w:val="5"/>
    </w:rPr>
  </w:style>
  <w:style w:type="paragraph" w:customStyle="1" w:styleId="EndNoteBibliography">
    <w:name w:val="EndNote Bibliography"/>
    <w:basedOn w:val="Normal"/>
    <w:link w:val="EndNoteBibliographyChar"/>
    <w:rsid w:val="00C33597"/>
    <w:pPr>
      <w:spacing w:after="0" w:line="240" w:lineRule="auto"/>
      <w:jc w:val="both"/>
    </w:pPr>
    <w:rPr>
      <w:rFonts w:eastAsiaTheme="minorHAnsi" w:cs="Calibri"/>
      <w:noProof/>
      <w:szCs w:val="24"/>
    </w:rPr>
  </w:style>
  <w:style w:type="character" w:customStyle="1" w:styleId="EndNoteBibliographyChar">
    <w:name w:val="EndNote Bibliography Char"/>
    <w:basedOn w:val="DefaultParagraphFont"/>
    <w:link w:val="EndNoteBibliography"/>
    <w:rsid w:val="00C33597"/>
    <w:rPr>
      <w:rFonts w:ascii="Calibri" w:hAnsi="Calibri" w:cs="Calibri"/>
      <w:noProof/>
      <w:kern w:val="0"/>
      <w:sz w:val="22"/>
      <w:lang w:val="en-US"/>
      <w14:ligatures w14:val="none"/>
    </w:rPr>
  </w:style>
  <w:style w:type="paragraph" w:styleId="Footer">
    <w:name w:val="footer"/>
    <w:basedOn w:val="Normal"/>
    <w:link w:val="FooterChar"/>
    <w:uiPriority w:val="99"/>
    <w:unhideWhenUsed/>
    <w:rsid w:val="00C335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3597"/>
    <w:rPr>
      <w:rFonts w:ascii="Calibri" w:eastAsia="Calibri" w:hAnsi="Calibri" w:cs="Times New Roman"/>
      <w:kern w:val="0"/>
      <w:sz w:val="22"/>
      <w:szCs w:val="22"/>
      <w:lang w:val="en-US"/>
      <w14:ligatures w14:val="none"/>
    </w:rPr>
  </w:style>
  <w:style w:type="character" w:styleId="PageNumber">
    <w:name w:val="page number"/>
    <w:basedOn w:val="DefaultParagraphFont"/>
    <w:uiPriority w:val="99"/>
    <w:semiHidden/>
    <w:unhideWhenUsed/>
    <w:rsid w:val="00C33597"/>
  </w:style>
  <w:style w:type="paragraph" w:styleId="NormalWeb">
    <w:name w:val="Normal (Web)"/>
    <w:basedOn w:val="Normal"/>
    <w:uiPriority w:val="99"/>
    <w:unhideWhenUsed/>
    <w:rsid w:val="001E02F9"/>
    <w:pPr>
      <w:spacing w:before="100" w:beforeAutospacing="1" w:after="100" w:afterAutospacing="1" w:line="240" w:lineRule="auto"/>
    </w:pPr>
    <w:rPr>
      <w:rFonts w:ascii="Times New Roman" w:eastAsia="Times New Roman" w:hAnsi="Times New Roman"/>
      <w:sz w:val="24"/>
      <w:szCs w:val="24"/>
      <w:lang w:val="tr-TR" w:eastAsia="tr-TR"/>
    </w:rPr>
  </w:style>
  <w:style w:type="character" w:customStyle="1" w:styleId="apple-converted-space">
    <w:name w:val="apple-converted-space"/>
    <w:basedOn w:val="DefaultParagraphFont"/>
    <w:rsid w:val="001E02F9"/>
  </w:style>
  <w:style w:type="paragraph" w:customStyle="1" w:styleId="EndNoteBibliographyTitle">
    <w:name w:val="EndNote Bibliography Title"/>
    <w:basedOn w:val="Normal"/>
    <w:link w:val="EndNoteBibliographyTitleChar"/>
    <w:rsid w:val="00363793"/>
    <w:pPr>
      <w:spacing w:after="0"/>
      <w:jc w:val="center"/>
    </w:pPr>
    <w:rPr>
      <w:rFonts w:cs="Calibri"/>
    </w:rPr>
  </w:style>
  <w:style w:type="character" w:customStyle="1" w:styleId="EndNoteBibliographyTitleChar">
    <w:name w:val="EndNote Bibliography Title Char"/>
    <w:basedOn w:val="DefaultParagraphFont"/>
    <w:link w:val="EndNoteBibliographyTitle"/>
    <w:rsid w:val="00363793"/>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7043">
      <w:bodyDiv w:val="1"/>
      <w:marLeft w:val="0"/>
      <w:marRight w:val="0"/>
      <w:marTop w:val="0"/>
      <w:marBottom w:val="0"/>
      <w:divBdr>
        <w:top w:val="none" w:sz="0" w:space="0" w:color="auto"/>
        <w:left w:val="none" w:sz="0" w:space="0" w:color="auto"/>
        <w:bottom w:val="none" w:sz="0" w:space="0" w:color="auto"/>
        <w:right w:val="none" w:sz="0" w:space="0" w:color="auto"/>
      </w:divBdr>
      <w:divsChild>
        <w:div w:id="434717900">
          <w:marLeft w:val="0"/>
          <w:marRight w:val="0"/>
          <w:marTop w:val="0"/>
          <w:marBottom w:val="0"/>
          <w:divBdr>
            <w:top w:val="none" w:sz="0" w:space="0" w:color="auto"/>
            <w:left w:val="none" w:sz="0" w:space="0" w:color="auto"/>
            <w:bottom w:val="none" w:sz="0" w:space="0" w:color="auto"/>
            <w:right w:val="none" w:sz="0" w:space="0" w:color="auto"/>
          </w:divBdr>
          <w:divsChild>
            <w:div w:id="1991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3169">
      <w:bodyDiv w:val="1"/>
      <w:marLeft w:val="0"/>
      <w:marRight w:val="0"/>
      <w:marTop w:val="0"/>
      <w:marBottom w:val="0"/>
      <w:divBdr>
        <w:top w:val="none" w:sz="0" w:space="0" w:color="auto"/>
        <w:left w:val="none" w:sz="0" w:space="0" w:color="auto"/>
        <w:bottom w:val="none" w:sz="0" w:space="0" w:color="auto"/>
        <w:right w:val="none" w:sz="0" w:space="0" w:color="auto"/>
      </w:divBdr>
    </w:div>
    <w:div w:id="1193149818">
      <w:bodyDiv w:val="1"/>
      <w:marLeft w:val="0"/>
      <w:marRight w:val="0"/>
      <w:marTop w:val="0"/>
      <w:marBottom w:val="0"/>
      <w:divBdr>
        <w:top w:val="none" w:sz="0" w:space="0" w:color="auto"/>
        <w:left w:val="none" w:sz="0" w:space="0" w:color="auto"/>
        <w:bottom w:val="none" w:sz="0" w:space="0" w:color="auto"/>
        <w:right w:val="none" w:sz="0" w:space="0" w:color="auto"/>
      </w:divBdr>
      <w:divsChild>
        <w:div w:id="377704659">
          <w:marLeft w:val="0"/>
          <w:marRight w:val="0"/>
          <w:marTop w:val="0"/>
          <w:marBottom w:val="0"/>
          <w:divBdr>
            <w:top w:val="none" w:sz="0" w:space="0" w:color="auto"/>
            <w:left w:val="none" w:sz="0" w:space="0" w:color="auto"/>
            <w:bottom w:val="none" w:sz="0" w:space="0" w:color="auto"/>
            <w:right w:val="none" w:sz="0" w:space="0" w:color="auto"/>
          </w:divBdr>
          <w:divsChild>
            <w:div w:id="1289552787">
              <w:marLeft w:val="0"/>
              <w:marRight w:val="0"/>
              <w:marTop w:val="0"/>
              <w:marBottom w:val="0"/>
              <w:divBdr>
                <w:top w:val="none" w:sz="0" w:space="0" w:color="auto"/>
                <w:left w:val="none" w:sz="0" w:space="0" w:color="auto"/>
                <w:bottom w:val="none" w:sz="0" w:space="0" w:color="auto"/>
                <w:right w:val="none" w:sz="0" w:space="0" w:color="auto"/>
              </w:divBdr>
            </w:div>
          </w:divsChild>
        </w:div>
        <w:div w:id="162092322">
          <w:marLeft w:val="0"/>
          <w:marRight w:val="0"/>
          <w:marTop w:val="0"/>
          <w:marBottom w:val="0"/>
          <w:divBdr>
            <w:top w:val="none" w:sz="0" w:space="0" w:color="auto"/>
            <w:left w:val="none" w:sz="0" w:space="0" w:color="auto"/>
            <w:bottom w:val="none" w:sz="0" w:space="0" w:color="auto"/>
            <w:right w:val="none" w:sz="0" w:space="0" w:color="auto"/>
          </w:divBdr>
          <w:divsChild>
            <w:div w:id="1408917044">
              <w:marLeft w:val="0"/>
              <w:marRight w:val="0"/>
              <w:marTop w:val="0"/>
              <w:marBottom w:val="0"/>
              <w:divBdr>
                <w:top w:val="none" w:sz="0" w:space="0" w:color="auto"/>
                <w:left w:val="none" w:sz="0" w:space="0" w:color="auto"/>
                <w:bottom w:val="none" w:sz="0" w:space="0" w:color="auto"/>
                <w:right w:val="none" w:sz="0" w:space="0" w:color="auto"/>
              </w:divBdr>
            </w:div>
          </w:divsChild>
        </w:div>
        <w:div w:id="1288664876">
          <w:marLeft w:val="0"/>
          <w:marRight w:val="0"/>
          <w:marTop w:val="0"/>
          <w:marBottom w:val="0"/>
          <w:divBdr>
            <w:top w:val="none" w:sz="0" w:space="0" w:color="auto"/>
            <w:left w:val="none" w:sz="0" w:space="0" w:color="auto"/>
            <w:bottom w:val="none" w:sz="0" w:space="0" w:color="auto"/>
            <w:right w:val="none" w:sz="0" w:space="0" w:color="auto"/>
          </w:divBdr>
          <w:divsChild>
            <w:div w:id="473255056">
              <w:marLeft w:val="0"/>
              <w:marRight w:val="0"/>
              <w:marTop w:val="0"/>
              <w:marBottom w:val="0"/>
              <w:divBdr>
                <w:top w:val="none" w:sz="0" w:space="0" w:color="auto"/>
                <w:left w:val="none" w:sz="0" w:space="0" w:color="auto"/>
                <w:bottom w:val="none" w:sz="0" w:space="0" w:color="auto"/>
                <w:right w:val="none" w:sz="0" w:space="0" w:color="auto"/>
              </w:divBdr>
            </w:div>
          </w:divsChild>
        </w:div>
        <w:div w:id="927078727">
          <w:marLeft w:val="0"/>
          <w:marRight w:val="0"/>
          <w:marTop w:val="0"/>
          <w:marBottom w:val="0"/>
          <w:divBdr>
            <w:top w:val="none" w:sz="0" w:space="0" w:color="auto"/>
            <w:left w:val="none" w:sz="0" w:space="0" w:color="auto"/>
            <w:bottom w:val="none" w:sz="0" w:space="0" w:color="auto"/>
            <w:right w:val="none" w:sz="0" w:space="0" w:color="auto"/>
          </w:divBdr>
          <w:divsChild>
            <w:div w:id="18258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2785">
      <w:bodyDiv w:val="1"/>
      <w:marLeft w:val="0"/>
      <w:marRight w:val="0"/>
      <w:marTop w:val="0"/>
      <w:marBottom w:val="0"/>
      <w:divBdr>
        <w:top w:val="none" w:sz="0" w:space="0" w:color="auto"/>
        <w:left w:val="none" w:sz="0" w:space="0" w:color="auto"/>
        <w:bottom w:val="none" w:sz="0" w:space="0" w:color="auto"/>
        <w:right w:val="none" w:sz="0" w:space="0" w:color="auto"/>
      </w:divBdr>
      <w:divsChild>
        <w:div w:id="1992950313">
          <w:marLeft w:val="0"/>
          <w:marRight w:val="0"/>
          <w:marTop w:val="0"/>
          <w:marBottom w:val="0"/>
          <w:divBdr>
            <w:top w:val="none" w:sz="0" w:space="0" w:color="auto"/>
            <w:left w:val="none" w:sz="0" w:space="0" w:color="auto"/>
            <w:bottom w:val="none" w:sz="0" w:space="0" w:color="auto"/>
            <w:right w:val="none" w:sz="0" w:space="0" w:color="auto"/>
          </w:divBdr>
          <w:divsChild>
            <w:div w:id="5258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934">
      <w:bodyDiv w:val="1"/>
      <w:marLeft w:val="0"/>
      <w:marRight w:val="0"/>
      <w:marTop w:val="0"/>
      <w:marBottom w:val="0"/>
      <w:divBdr>
        <w:top w:val="none" w:sz="0" w:space="0" w:color="auto"/>
        <w:left w:val="none" w:sz="0" w:space="0" w:color="auto"/>
        <w:bottom w:val="none" w:sz="0" w:space="0" w:color="auto"/>
        <w:right w:val="none" w:sz="0" w:space="0" w:color="auto"/>
      </w:divBdr>
    </w:div>
    <w:div w:id="1971862209">
      <w:bodyDiv w:val="1"/>
      <w:marLeft w:val="0"/>
      <w:marRight w:val="0"/>
      <w:marTop w:val="0"/>
      <w:marBottom w:val="0"/>
      <w:divBdr>
        <w:top w:val="none" w:sz="0" w:space="0" w:color="auto"/>
        <w:left w:val="none" w:sz="0" w:space="0" w:color="auto"/>
        <w:bottom w:val="none" w:sz="0" w:space="0" w:color="auto"/>
        <w:right w:val="none" w:sz="0" w:space="0" w:color="auto"/>
      </w:divBdr>
    </w:div>
    <w:div w:id="2122913968">
      <w:bodyDiv w:val="1"/>
      <w:marLeft w:val="0"/>
      <w:marRight w:val="0"/>
      <w:marTop w:val="0"/>
      <w:marBottom w:val="0"/>
      <w:divBdr>
        <w:top w:val="none" w:sz="0" w:space="0" w:color="auto"/>
        <w:left w:val="none" w:sz="0" w:space="0" w:color="auto"/>
        <w:bottom w:val="none" w:sz="0" w:space="0" w:color="auto"/>
        <w:right w:val="none" w:sz="0" w:space="0" w:color="auto"/>
      </w:divBdr>
      <w:divsChild>
        <w:div w:id="1433740796">
          <w:marLeft w:val="0"/>
          <w:marRight w:val="0"/>
          <w:marTop w:val="0"/>
          <w:marBottom w:val="0"/>
          <w:divBdr>
            <w:top w:val="none" w:sz="0" w:space="0" w:color="auto"/>
            <w:left w:val="none" w:sz="0" w:space="0" w:color="auto"/>
            <w:bottom w:val="none" w:sz="0" w:space="0" w:color="auto"/>
            <w:right w:val="none" w:sz="0" w:space="0" w:color="auto"/>
          </w:divBdr>
          <w:divsChild>
            <w:div w:id="1385368052">
              <w:marLeft w:val="0"/>
              <w:marRight w:val="0"/>
              <w:marTop w:val="0"/>
              <w:marBottom w:val="0"/>
              <w:divBdr>
                <w:top w:val="none" w:sz="0" w:space="0" w:color="auto"/>
                <w:left w:val="none" w:sz="0" w:space="0" w:color="auto"/>
                <w:bottom w:val="none" w:sz="0" w:space="0" w:color="auto"/>
                <w:right w:val="none" w:sz="0" w:space="0" w:color="auto"/>
              </w:divBdr>
            </w:div>
          </w:divsChild>
        </w:div>
        <w:div w:id="513302231">
          <w:marLeft w:val="0"/>
          <w:marRight w:val="0"/>
          <w:marTop w:val="0"/>
          <w:marBottom w:val="0"/>
          <w:divBdr>
            <w:top w:val="none" w:sz="0" w:space="0" w:color="auto"/>
            <w:left w:val="none" w:sz="0" w:space="0" w:color="auto"/>
            <w:bottom w:val="none" w:sz="0" w:space="0" w:color="auto"/>
            <w:right w:val="none" w:sz="0" w:space="0" w:color="auto"/>
          </w:divBdr>
          <w:divsChild>
            <w:div w:id="1414662342">
              <w:marLeft w:val="0"/>
              <w:marRight w:val="0"/>
              <w:marTop w:val="0"/>
              <w:marBottom w:val="0"/>
              <w:divBdr>
                <w:top w:val="none" w:sz="0" w:space="0" w:color="auto"/>
                <w:left w:val="none" w:sz="0" w:space="0" w:color="auto"/>
                <w:bottom w:val="none" w:sz="0" w:space="0" w:color="auto"/>
                <w:right w:val="none" w:sz="0" w:space="0" w:color="auto"/>
              </w:divBdr>
            </w:div>
          </w:divsChild>
        </w:div>
        <w:div w:id="1948271653">
          <w:marLeft w:val="0"/>
          <w:marRight w:val="0"/>
          <w:marTop w:val="0"/>
          <w:marBottom w:val="0"/>
          <w:divBdr>
            <w:top w:val="none" w:sz="0" w:space="0" w:color="auto"/>
            <w:left w:val="none" w:sz="0" w:space="0" w:color="auto"/>
            <w:bottom w:val="none" w:sz="0" w:space="0" w:color="auto"/>
            <w:right w:val="none" w:sz="0" w:space="0" w:color="auto"/>
          </w:divBdr>
          <w:divsChild>
            <w:div w:id="2047219516">
              <w:marLeft w:val="0"/>
              <w:marRight w:val="0"/>
              <w:marTop w:val="0"/>
              <w:marBottom w:val="0"/>
              <w:divBdr>
                <w:top w:val="none" w:sz="0" w:space="0" w:color="auto"/>
                <w:left w:val="none" w:sz="0" w:space="0" w:color="auto"/>
                <w:bottom w:val="none" w:sz="0" w:space="0" w:color="auto"/>
                <w:right w:val="none" w:sz="0" w:space="0" w:color="auto"/>
              </w:divBdr>
            </w:div>
          </w:divsChild>
        </w:div>
        <w:div w:id="1053769779">
          <w:marLeft w:val="0"/>
          <w:marRight w:val="0"/>
          <w:marTop w:val="0"/>
          <w:marBottom w:val="0"/>
          <w:divBdr>
            <w:top w:val="none" w:sz="0" w:space="0" w:color="auto"/>
            <w:left w:val="none" w:sz="0" w:space="0" w:color="auto"/>
            <w:bottom w:val="none" w:sz="0" w:space="0" w:color="auto"/>
            <w:right w:val="none" w:sz="0" w:space="0" w:color="auto"/>
          </w:divBdr>
          <w:divsChild>
            <w:div w:id="13454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5616</Words>
  <Characters>32017</Characters>
  <Application>Microsoft Office Word</Application>
  <DocSecurity>0</DocSecurity>
  <Lines>266</Lines>
  <Paragraphs>75</Paragraphs>
  <ScaleCrop>false</ScaleCrop>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2026-09-03T15:27:00Z</dcterms:created>
  <dcterms:modified xsi:type="dcterms:W3CDTF">2026-09-03T15:27:00Z</dcterms:modified>
</cp:coreProperties>
</file>