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NormalWeb"/>
      </w:pPr>
      <w:r>
        <w:rPr>
          <w:rFonts w:ascii="Arial" w:hAnsi="Arial" w:cs="Arial"/>
          <w:b/>
        </w:rPr>
        <w:t>24 October 2026</w:t>
      </w:r>
    </w:p>
    <w:p/>
    <w:p>
      <w:pPr>
        <w:pStyle w:val="NormalWeb"/>
      </w:pPr>
      <w:r>
        <w:rPr>
          <w:rFonts w:ascii="Arial" w:hAnsi="Arial" w:cs="Arial"/>
          <w:b/>
        </w:rPr>
        <w:t>RE: MD-D-26-05075</w:t>
      </w:r>
    </w:p>
    <w:p>
      <w:pPr>
        <w:pStyle w:val="NormalWeb"/>
      </w:pPr>
      <w:r>
        <w:rPr>
          <w:rFonts w:ascii="Arial" w:hAnsi="Arial" w:cs="Arial"/>
          <w:b/>
        </w:rPr>
        <w:t>Previous title: "Total Intravenous Anesthesia Versus Target-Controlled Infusion in Pediatric Minimally Invasive Cardiac Surgery: A Retrospective Study"</w:t>
      </w:r>
    </w:p>
    <w:p>
      <w:pPr>
        <w:pStyle w:val="NormalWeb"/>
      </w:pPr>
      <w:r>
        <w:rPr>
          <w:rFonts w:ascii="Arial" w:hAnsi="Arial" w:cs="Arial"/>
          <w:b/>
        </w:rPr>
        <w:t>Revised title: "Total Intravenous Anesthesia and Target-Controlled Infusion in Pediatric Minimally Invasive Cardiac Surgery: A Single-Center Retrospective Cohort Study"</w:t>
      </w:r>
    </w:p>
    <w:p/>
    <w:p>
      <w:pPr>
        <w:pStyle w:val="NormalWeb"/>
      </w:pPr>
      <w:r>
        <w:rPr>
          <w:rFonts w:ascii="Arial" w:hAnsi="Arial" w:cs="Arial"/>
          <w:b/>
        </w:rPr>
        <w:t>Dear Editor-in-Chief,</w:t>
      </w:r>
    </w:p>
    <w:p>
      <w:pPr>
        <w:pStyle w:val="NormalWeb"/>
      </w:pPr>
      <w:r>
        <w:rPr>
          <w:rFonts w:ascii="Arial" w:hAnsi="Arial" w:cs="Arial"/>
          <w:b/>
        </w:rPr>
        <w:t>Medicine</w:t>
      </w:r>
    </w:p>
    <w:p>
      <w:pPr>
        <w:jc w:val="both"/>
      </w:pPr>
      <w:r>
        <w:rPr>
          <w:rFonts w:ascii="Arial" w:hAnsi="Arial" w:cs="Arial"/>
        </w:rPr>
        <w:t>We thank you, Reviewer #2 and Reviewer #3 for their further assessment of our manuscript. We are grateful to Reviewer #2 for recommending publication. Reviewer #3 raised a single substantive point, the classification of the study design, which we have considered carefully. For the reasons set out below we respectfully maintain that the work is a retrospective cohort study, and we have revised the manuscript so that its design, its study size and the precision of its estimates are stated explicitly and consistently throughout.</w:t>
      </w:r>
    </w:p>
    <w:p>
      <w:pPr>
        <w:jc w:val="both"/>
      </w:pPr>
      <w:r>
        <w:rPr>
          <w:rFonts w:ascii="Arial" w:hAnsi="Arial" w:cs="Arial"/>
        </w:rPr>
        <w:t xml:space="preserve">All new and altered text appears in </w:t>
      </w:r>
      <w:r>
        <w:rPr>
          <w:rFonts w:ascii="Arial" w:hAnsi="Arial" w:cs="Arial"/>
        </w:rPr>
        <w:t>yellow</w:t>
      </w:r>
      <w:r>
        <w:rPr>
          <w:rFonts w:ascii="Arial" w:hAnsi="Arial" w:cs="Arial"/>
        </w:rPr>
        <w:t xml:space="preserve"> in the revised manuscript file. Our point-by-point responses follow.</w:t>
      </w:r>
    </w:p>
    <w:p/>
    <w:p>
      <w:pPr>
        <w:jc w:val="both"/>
      </w:pPr>
      <w:r>
        <w:rPr>
          <w:rFonts w:ascii="Arial" w:hAnsi="Arial" w:cs="Arial"/>
          <w:b/>
        </w:rPr>
        <w:t>Summary of the principal changes</w:t>
      </w:r>
    </w:p>
    <w:p/>
    <w:p>
      <w:pPr>
        <w:jc w:val="both"/>
      </w:pPr>
      <w:r>
        <w:rPr>
          <w:rFonts w:ascii="Arial" w:hAnsi="Arial" w:cs="Arial"/>
          <w:b/>
        </w:rPr>
        <w:t>1. Title.</w:t>
      </w:r>
      <w:r>
        <w:rPr>
          <w:rFonts w:ascii="Arial" w:hAnsi="Arial" w:cs="Arial"/>
        </w:rPr>
        <w:t xml:space="preserve"> The design is now stated as a single-center retrospective cohort study, and “Versus” has been replaced by “and”, since the study describes both techniques and does not compare them.</w:t>
      </w:r>
    </w:p>
    <w:p>
      <w:pPr>
        <w:jc w:val="both"/>
      </w:pPr>
      <w:r>
        <w:rPr>
          <w:rFonts w:ascii="Arial" w:hAnsi="Arial" w:cs="Arial"/>
          <w:b/>
        </w:rPr>
        <w:t>2. Methods, design statement.</w:t>
      </w:r>
      <w:r>
        <w:rPr>
          <w:rFonts w:ascii="Arial" w:hAnsi="Arial" w:cs="Arial"/>
        </w:rPr>
        <w:t xml:space="preserve"> A paragraph now defines the design: patients were identified by exposure (elective MICS under one of two predefined intravenous techniques) within fixed eligibility criteria and a fixed period and were followed for predefined outcomes. The study is reported according to the STROBE statement, which replaces the reference to the CARE guideline for case reports and case series.</w:t>
      </w:r>
    </w:p>
    <w:p>
      <w:pPr>
        <w:jc w:val="both"/>
      </w:pPr>
      <w:r>
        <w:rPr>
          <w:rFonts w:ascii="Arial" w:hAnsi="Arial" w:cs="Arial"/>
          <w:b/>
        </w:rPr>
        <w:t>3. Methods, new Study Size subsection.</w:t>
      </w:r>
      <w:r>
        <w:rPr>
          <w:rFonts w:ascii="Arial" w:hAnsi="Arial" w:cs="Arial"/>
        </w:rPr>
        <w:t xml:space="preserve"> The subsection explains that study size was set by all eligible patients treated during the study period, why an a priori power calculation does not apply to a descriptive study, and why no post hoc power calculation was performed.</w:t>
      </w:r>
    </w:p>
    <w:p>
      <w:pPr>
        <w:jc w:val="both"/>
      </w:pPr>
      <w:r>
        <w:rPr>
          <w:rFonts w:ascii="Arial" w:hAnsi="Arial" w:cs="Arial"/>
          <w:b/>
        </w:rPr>
        <w:t>4. Precision of estimates.</w:t>
      </w:r>
      <w:r>
        <w:rPr>
          <w:rFonts w:ascii="Arial" w:hAnsi="Arial" w:cs="Arial"/>
        </w:rPr>
        <w:t xml:space="preserve"> Exact (Clopper–Pearson) 95% confidence intervals have been added for the key proportions in the Abstract and Results: 30-day mortality and major complications 0/8 (95% CI 0–36.9%), and inotropic support 4/8 (50%; 95% CI 15.7–84.3%).</w:t>
      </w:r>
    </w:p>
    <w:p>
      <w:pPr>
        <w:jc w:val="both"/>
      </w:pPr>
      <w:r>
        <w:rPr>
          <w:rFonts w:ascii="Arial" w:hAnsi="Arial" w:cs="Arial"/>
          <w:b/>
        </w:rPr>
        <w:t>5. Abstract.</w:t>
      </w:r>
      <w:r>
        <w:rPr>
          <w:rFonts w:ascii="Arial" w:hAnsi="Arial" w:cs="Arial"/>
        </w:rPr>
        <w:t xml:space="preserve"> The case-report headings (Rationale, Patient concerns, Diagnosis, Interventions, Outcomes, Lessons) have been replaced by Background, Methods, Results and Conclusions. The “Interventions” heading has been removed.</w:t>
      </w:r>
    </w:p>
    <w:p>
      <w:pPr>
        <w:jc w:val="both"/>
      </w:pPr>
      <w:r>
        <w:rPr>
          <w:rFonts w:ascii="Arial" w:hAnsi="Arial" w:cs="Arial"/>
          <w:b/>
        </w:rPr>
        <w:t>6. Terminology.</w:t>
      </w:r>
      <w:r>
        <w:rPr>
          <w:rFonts w:ascii="Arial" w:hAnsi="Arial" w:cs="Arial"/>
        </w:rPr>
        <w:t xml:space="preserve"> Every description of the work as a “case series” has been replaced, in the Abstract, Methods, Discussion and Conclusions.</w:t>
      </w:r>
    </w:p>
    <w:p>
      <w:pPr>
        <w:jc w:val="both"/>
      </w:pPr>
      <w:r>
        <w:rPr>
          <w:rFonts w:ascii="Arial" w:hAnsi="Arial" w:cs="Arial"/>
          <w:b/>
        </w:rPr>
        <w:t>7. Limitations.</w:t>
      </w:r>
      <w:r>
        <w:rPr>
          <w:rFonts w:ascii="Arial" w:hAnsi="Arial" w:cs="Arial"/>
        </w:rPr>
        <w:t xml:space="preserve"> The Limitations now state that the study size was not based on a sample size calculation, that the study was not powered to compare the two techniques or to detect uncommon complications, and how wide the confidence interval around a complication rate of 0% remains.</w:t>
      </w:r>
    </w:p>
    <w:p>
      <w:pPr>
        <w:jc w:val="both"/>
      </w:pPr>
      <w:r>
        <w:rPr>
          <w:rFonts w:ascii="Arial" w:hAnsi="Arial" w:cs="Arial"/>
          <w:b/>
        </w:rPr>
        <w:t>8. References and abbreviations.</w:t>
      </w:r>
      <w:r>
        <w:rPr>
          <w:rFonts w:ascii="Arial" w:hAnsi="Arial" w:cs="Arial"/>
        </w:rPr>
        <w:t xml:space="preserve"> Three methodological references have been added as references 8 to 10 (the STROBE statement, its explanation and elaboration document, and Dekkers et al. on distinguishing case series from cohort studies). The former references 8 to 25 have been renumbered 11 to 28 in order of citation. The list of abbreviations has been completed and a typographical error (CBP) corrected to CPB.</w:t>
      </w:r>
    </w:p>
    <w:p/>
    <w:p>
      <w:pPr/>
      <w:r>
        <w:rPr>
          <w:rFonts w:ascii="Arial" w:hAnsi="Arial" w:cs="Arial"/>
          <w:b/>
        </w:rPr>
        <w:t>Reviewer #2</w:t>
      </w:r>
    </w:p>
    <w:p/>
    <w:p>
      <w:pPr>
        <w:jc w:val="both"/>
      </w:pPr>
      <w:r>
        <w:rPr>
          <w:rFonts w:ascii="Arial" w:hAnsi="Arial" w:cs="Arial"/>
          <w:b/>
        </w:rPr>
        <w:t>Comment.</w:t>
      </w:r>
      <w:r>
        <w:rPr>
          <w:rFonts w:ascii="Arial" w:hAnsi="Arial" w:cs="Arial"/>
        </w:rPr>
        <w:t xml:space="preserve"> “</w:t>
      </w:r>
      <w:r>
        <w:rPr>
          <w:rFonts w:ascii="Arial" w:hAnsi="Arial" w:cs="Arial"/>
          <w:i/>
        </w:rPr>
        <w:t>As I said, the revision is good enough to be published.</w:t>
      </w:r>
      <w:r>
        <w:rPr>
          <w:rFonts w:ascii="Arial" w:hAnsi="Arial" w:cs="Arial"/>
        </w:rPr>
        <w:t>”</w:t>
      </w:r>
    </w:p>
    <w:p>
      <w:pPr>
        <w:jc w:val="both"/>
      </w:pPr>
      <w:r>
        <w:rPr>
          <w:rFonts w:ascii="Arial" w:hAnsi="Arial" w:cs="Arial"/>
          <w:b/>
        </w:rPr>
        <w:t>Response.</w:t>
      </w:r>
      <w:r>
        <w:rPr>
          <w:rFonts w:ascii="Arial" w:hAnsi="Arial" w:cs="Arial"/>
        </w:rPr>
        <w:t xml:space="preserve"> We thank the reviewer for the careful assessment over both rounds of review and for recommending publication. No further changes were requested.</w:t>
      </w:r>
    </w:p>
    <w:p/>
    <w:p>
      <w:pPr/>
      <w:r>
        <w:rPr>
          <w:rFonts w:ascii="Arial" w:hAnsi="Arial" w:cs="Arial"/>
          <w:b/>
        </w:rPr>
        <w:t>Reviewer #3</w:t>
      </w:r>
    </w:p>
    <w:p/>
    <w:p>
      <w:pPr>
        <w:jc w:val="both"/>
      </w:pPr>
      <w:r>
        <w:rPr>
          <w:rFonts w:ascii="Arial" w:hAnsi="Arial" w:cs="Arial"/>
          <w:b/>
        </w:rPr>
        <w:t>Q1.</w:t>
      </w:r>
      <w:r>
        <w:rPr>
          <w:rFonts w:ascii="Arial" w:hAnsi="Arial" w:cs="Arial"/>
        </w:rPr>
        <w:t xml:space="preserve"> “</w:t>
      </w:r>
      <w:r>
        <w:rPr>
          <w:rFonts w:ascii="Arial" w:hAnsi="Arial" w:cs="Arial"/>
          <w:i/>
        </w:rPr>
        <w:t>The papers is best to be a case series, as retrospective study needs sample size and power calculation.</w:t>
      </w:r>
      <w:r>
        <w:rPr>
          <w:rFonts w:ascii="Arial" w:hAnsi="Arial" w:cs="Arial"/>
        </w:rPr>
        <w:t>”</w:t>
      </w:r>
    </w:p>
    <w:p>
      <w:pPr>
        <w:jc w:val="both"/>
      </w:pPr>
      <w:r>
        <w:rPr>
          <w:rFonts w:ascii="Arial" w:hAnsi="Arial" w:cs="Arial"/>
          <w:b/>
        </w:rPr>
        <w:t>Response.</w:t>
      </w:r>
      <w:r>
        <w:rPr>
          <w:rFonts w:ascii="Arial" w:hAnsi="Arial" w:cs="Arial"/>
        </w:rPr>
        <w:t xml:space="preserve"> We thank the reviewer for raising this point, which led us to make the design, study size and precision of the work explicit in the manuscript. We have considered the suggestion carefully and respectfully maintain that the study is correctly classified as a retrospective cohort study. Our reasons are as follows.</w:t>
      </w:r>
    </w:p>
    <w:p>
      <w:pPr/>
      <w:r>
        <w:rPr>
          <w:rFonts w:ascii="Arial" w:hAnsi="Arial" w:cs="Arial"/>
        </w:rPr>
        <w:t>•</w:t>
      </w:r>
      <w:r>
        <w:rPr>
          <w:rFonts w:ascii="Arial" w:hAnsi="Arial" w:cs="Arial"/>
        </w:rPr>
        <w:tab/>
      </w:r>
      <w:r>
        <w:rPr>
          <w:rFonts w:ascii="Arial" w:hAnsi="Arial" w:cs="Arial"/>
          <w:b/>
        </w:rPr>
        <w:t>Design is defined by how patients are sampled, not by their number.</w:t>
      </w:r>
      <w:r>
        <w:rPr>
          <w:rFonts w:ascii="Arial" w:hAnsi="Arial" w:cs="Arial"/>
        </w:rPr>
        <w:t xml:space="preserve"> In the methodological framework set out by Dekkers et al. (Ann Intern Med 2012; reference 9), a cohort study samples patients on exposure and follows them for outcomes, and it can do so without a comparison group, whereas a case series samples patients on the basis of a disease or outcome. Our patients were identified by exposure (elective MICS through right anterior mini-thoracotomy under TIVA or TCI) within predefined eligibility criteria and a fixed ten-year window, and all eligible patients were followed for predefined outcomes (time to extubation, intensive care and hospital stay, vasoactive requirement, 30-day mortality and major complications). This is the structure of a retrospective cohort, and it allows absolute event frequencies to be estimated, which a case series cannot do.</w:t>
      </w:r>
    </w:p>
    <w:p>
      <w:pPr/>
      <w:r>
        <w:rPr>
          <w:rFonts w:ascii="Arial" w:hAnsi="Arial" w:cs="Arial"/>
        </w:rPr>
        <w:t>•</w:t>
      </w:r>
      <w:r>
        <w:rPr>
          <w:rFonts w:ascii="Arial" w:hAnsi="Arial" w:cs="Arial"/>
        </w:rPr>
        <w:tab/>
      </w:r>
      <w:r>
        <w:rPr>
          <w:rFonts w:ascii="Arial" w:hAnsi="Arial" w:cs="Arial"/>
          <w:b/>
        </w:rPr>
        <w:t>A power calculation applies to hypothesis tests, and this study tests none.</w:t>
      </w:r>
      <w:r>
        <w:rPr>
          <w:rFonts w:ascii="Arial" w:hAnsi="Arial" w:cs="Arial"/>
        </w:rPr>
        <w:t xml:space="preserve"> Sample size and power calculations exist to ensure that a planned comparison can detect a prespecified effect. After the previous round of review we removed every comparative test and p-value; the study has a descriptive objective only. For retrospective studies in which the study size is fixed by the available population, the STROBE explanation and elaboration document (reference 10, item 10) asks authors to explain how the study size was arrived at, not to report an a priori power calculation, and it advises explicitly against post hoc power calculations, recommending confidence intervals instead. We have followed this guidance.</w:t>
      </w:r>
    </w:p>
    <w:p>
      <w:pPr/>
      <w:r>
        <w:rPr>
          <w:rFonts w:ascii="Arial" w:hAnsi="Arial" w:cs="Arial"/>
        </w:rPr>
        <w:t>•</w:t>
      </w:r>
      <w:r>
        <w:rPr>
          <w:rFonts w:ascii="Arial" w:hAnsi="Arial" w:cs="Arial"/>
        </w:rPr>
        <w:tab/>
      </w:r>
      <w:r>
        <w:rPr>
          <w:rFonts w:ascii="Arial" w:hAnsi="Arial" w:cs="Arial"/>
          <w:b/>
        </w:rPr>
        <w:t>The precision of the estimates is now stated.</w:t>
      </w:r>
      <w:r>
        <w:rPr>
          <w:rFonts w:ascii="Arial" w:hAnsi="Arial" w:cs="Arial"/>
        </w:rPr>
        <w:t xml:space="preserve"> In place of a power calculation, the Abstract and Results now give exact 95% confidence intervals for the key proportions. For example, the observed 30-day mortality and major complication rate of 0/8 carries an upper confidence limit of 36.9%. This conveys the limited informativeness of eight patients more directly than a power figure would, and the Limitations now state it in those terms.</w:t>
      </w:r>
    </w:p>
    <w:p>
      <w:pPr/>
      <w:r>
        <w:rPr>
          <w:rFonts w:ascii="Arial" w:hAnsi="Arial" w:cs="Arial"/>
        </w:rPr>
        <w:t>•</w:t>
      </w:r>
      <w:r>
        <w:rPr>
          <w:rFonts w:ascii="Arial" w:hAnsi="Arial" w:cs="Arial"/>
        </w:rPr>
        <w:tab/>
      </w:r>
      <w:r>
        <w:rPr>
          <w:rFonts w:ascii="Arial" w:hAnsi="Arial" w:cs="Arial"/>
          <w:b/>
        </w:rPr>
        <w:t>The small size of the cohort is acknowledged, not concealed.</w:t>
      </w:r>
      <w:r>
        <w:rPr>
          <w:rFonts w:ascii="Arial" w:hAnsi="Arial" w:cs="Arial"/>
        </w:rPr>
        <w:t xml:space="preserve"> We agree with the reviewer that eight patients cannot support comparative inference. The manuscript states this in the Methods, Results, Discussion and Limitations, and draws no conclusion about the relative merits of TIVA and TCI.</w:t>
      </w:r>
    </w:p>
    <w:p>
      <w:pPr>
        <w:jc w:val="both"/>
      </w:pPr>
      <w:r>
        <w:rPr>
          <w:rFonts w:ascii="Arial" w:hAnsi="Arial" w:cs="Arial"/>
        </w:rPr>
        <w:t>The corresponding changes are:</w:t>
      </w:r>
    </w:p>
    <w:p>
      <w:pPr/>
      <w:r>
        <w:rPr>
          <w:rFonts w:ascii="Arial" w:hAnsi="Arial" w:cs="Arial"/>
        </w:rPr>
        <w:t>•</w:t>
      </w:r>
      <w:r>
        <w:rPr>
          <w:rFonts w:ascii="Arial" w:hAnsi="Arial" w:cs="Arial"/>
        </w:rPr>
        <w:tab/>
      </w:r>
      <w:r>
        <w:rPr>
          <w:rFonts w:ascii="Arial" w:hAnsi="Arial" w:cs="Arial"/>
          <w:b/>
        </w:rPr>
        <w:t>Methods, opening paragraph:</w:t>
      </w:r>
      <w:r>
        <w:rPr>
          <w:rFonts w:ascii="Arial" w:hAnsi="Arial" w:cs="Arial"/>
        </w:rPr>
        <w:t xml:space="preserve"> the design is stated as a single-center retrospective cohort study reported according to STROBE (reference 8), with the sampling logic that defines it (reference 9). The reference to the CARE guideline for case reports and case series has been removed.</w:t>
      </w:r>
    </w:p>
    <w:p>
      <w:pPr/>
      <w:r>
        <w:rPr>
          <w:rFonts w:ascii="Arial" w:hAnsi="Arial" w:cs="Arial"/>
        </w:rPr>
        <w:t>•</w:t>
      </w:r>
      <w:r>
        <w:rPr>
          <w:rFonts w:ascii="Arial" w:hAnsi="Arial" w:cs="Arial"/>
        </w:rPr>
        <w:tab/>
      </w:r>
      <w:r>
        <w:rPr>
          <w:rFonts w:ascii="Arial" w:hAnsi="Arial" w:cs="Arial"/>
          <w:b/>
        </w:rPr>
        <w:t>Methods, new Study Size subsection:</w:t>
      </w:r>
      <w:r>
        <w:rPr>
          <w:rFonts w:ascii="Arial" w:hAnsi="Arial" w:cs="Arial"/>
        </w:rPr>
        <w:t xml:space="preserve"> “The study size was determined by the total number of eligible patients treated at our institution during the study period, not by an a priori calculation. Because the objective was descriptive and no hypothesis was tested, a formal power calculation was not applicable. In line with the STROBE recommendations, no post hoc power calculation was performed; the precision of the estimates is instead conveyed by 95% CIs.”</w:t>
      </w:r>
    </w:p>
    <w:p>
      <w:pPr/>
      <w:r>
        <w:rPr>
          <w:rFonts w:ascii="Arial" w:hAnsi="Arial" w:cs="Arial"/>
        </w:rPr>
        <w:t>•</w:t>
      </w:r>
      <w:r>
        <w:rPr>
          <w:rFonts w:ascii="Arial" w:hAnsi="Arial" w:cs="Arial"/>
        </w:rPr>
        <w:tab/>
      </w:r>
      <w:r>
        <w:rPr>
          <w:rFonts w:ascii="Arial" w:hAnsi="Arial" w:cs="Arial"/>
          <w:b/>
        </w:rPr>
        <w:t>Methods, Cohort:</w:t>
      </w:r>
      <w:r>
        <w:rPr>
          <w:rFonts w:ascii="Arial" w:hAnsi="Arial" w:cs="Arial"/>
        </w:rPr>
        <w:t xml:space="preserve"> all consecutive eligible patients were included, and 30-day follow-up was complete.</w:t>
      </w:r>
    </w:p>
    <w:p>
      <w:pPr/>
      <w:r>
        <w:rPr>
          <w:rFonts w:ascii="Arial" w:hAnsi="Arial" w:cs="Arial"/>
        </w:rPr>
        <w:t>•</w:t>
      </w:r>
      <w:r>
        <w:rPr>
          <w:rFonts w:ascii="Arial" w:hAnsi="Arial" w:cs="Arial"/>
        </w:rPr>
        <w:tab/>
      </w:r>
      <w:r>
        <w:rPr>
          <w:rFonts w:ascii="Arial" w:hAnsi="Arial" w:cs="Arial"/>
          <w:b/>
        </w:rPr>
        <w:t>Statistical analysis, Abstract and Results:</w:t>
      </w:r>
      <w:r>
        <w:rPr>
          <w:rFonts w:ascii="Arial" w:hAnsi="Arial" w:cs="Arial"/>
        </w:rPr>
        <w:t xml:space="preserve"> exact (Clopper–Pearson) 95% confidence intervals are now reported for proportions.</w:t>
      </w:r>
    </w:p>
    <w:p>
      <w:pPr/>
      <w:r>
        <w:rPr>
          <w:rFonts w:ascii="Arial" w:hAnsi="Arial" w:cs="Arial"/>
        </w:rPr>
        <w:t>•</w:t>
      </w:r>
      <w:r>
        <w:rPr>
          <w:rFonts w:ascii="Arial" w:hAnsi="Arial" w:cs="Arial"/>
        </w:rPr>
        <w:tab/>
      </w:r>
      <w:r>
        <w:rPr>
          <w:rFonts w:ascii="Arial" w:hAnsi="Arial" w:cs="Arial"/>
          <w:b/>
        </w:rPr>
        <w:t>Limitations:</w:t>
      </w:r>
      <w:r>
        <w:rPr>
          <w:rFonts w:ascii="Arial" w:hAnsi="Arial" w:cs="Arial"/>
        </w:rPr>
        <w:t xml:space="preserve"> the absence of an a priori sample size calculation and the resulting lack of power for comparison or for detecting uncommon complications are stated explicitly.</w:t>
      </w:r>
    </w:p>
    <w:p>
      <w:pPr/>
      <w:r>
        <w:rPr>
          <w:rFonts w:ascii="Arial" w:hAnsi="Arial" w:cs="Arial"/>
        </w:rPr>
        <w:t>•</w:t>
      </w:r>
      <w:r>
        <w:rPr>
          <w:rFonts w:ascii="Arial" w:hAnsi="Arial" w:cs="Arial"/>
        </w:rPr>
        <w:tab/>
      </w:r>
      <w:r>
        <w:rPr>
          <w:rFonts w:ascii="Arial" w:hAnsi="Arial" w:cs="Arial"/>
          <w:b/>
        </w:rPr>
        <w:t>Terminology:</w:t>
      </w:r>
      <w:r>
        <w:rPr>
          <w:rFonts w:ascii="Arial" w:hAnsi="Arial" w:cs="Arial"/>
        </w:rPr>
        <w:t xml:space="preserve"> “case series” has been replaced throughout, and the title now names the design as a single-center retrospective cohort study.</w:t>
      </w:r>
    </w:p>
    <w:p>
      <w:pPr>
        <w:jc w:val="both"/>
      </w:pPr>
      <w:r>
        <w:rPr>
          <w:rFonts w:ascii="Arial" w:hAnsi="Arial" w:cs="Arial"/>
        </w:rPr>
        <w:t>We hope that these changes address the reviewer's concern by making the design and its limits transparent, while describing the study accurately in the terms used by the reporting guideline that governs it.</w:t>
      </w:r>
    </w:p>
    <w:p/>
    <w:p>
      <w:pPr>
        <w:pStyle w:val="NormalWeb"/>
      </w:pPr>
      <w:r>
        <w:rPr>
          <w:rFonts w:ascii="Arial" w:hAnsi="Arial" w:cs="Arial"/>
          <w:b/>
        </w:rPr>
        <w:t>Editorial Formatting Comments</w:t>
      </w:r>
    </w:p>
    <w:p>
      <w:pPr>
        <w:pStyle w:val="NormalWeb"/>
      </w:pPr>
      <w:r>
        <w:rPr>
          <w:rFonts w:ascii="Arial" w:hAnsi="Arial" w:cs="Arial"/>
        </w:rPr>
        <w:t>-Title page: Be sure the title page lists all author names, degrees, and affiliations.</w:t>
      </w:r>
    </w:p>
    <w:p>
      <w:pPr>
        <w:pStyle w:val="NormalWeb"/>
      </w:pPr>
      <w:r>
        <w:rPr>
          <w:rFonts w:ascii="Arial" w:hAnsi="Arial" w:cs="Arial"/>
        </w:rPr>
        <w:t>-Title: Be sure the title includes any specific terms as directed in the reporting guidelines for your type of article (for example, "case report" should be in the title of a CARE-compliant article). The following guidelines specify that the study design should be in the article title: CARE, CHEERS, CONSORT, PRISMA, STARD, and STROBE.</w:t>
      </w:r>
    </w:p>
    <w:p>
      <w:pPr>
        <w:pStyle w:val="NormalWeb"/>
      </w:pPr>
      <w:r>
        <w:rPr>
          <w:rFonts w:ascii="Arial" w:hAnsi="Arial" w:cs="Arial"/>
        </w:rPr>
        <w:t>-Abstract: Be sure to use a structured abstract, with headings. Use the specific headings listed in the guidelines checklist if your report is based on the CARE, CHEERS, CONSORT, or PRISMA guidelines.</w:t>
      </w:r>
    </w:p>
    <w:p>
      <w:pPr>
        <w:pStyle w:val="NormalWeb"/>
      </w:pPr>
      <w:r>
        <w:rPr>
          <w:rFonts w:ascii="Arial" w:hAnsi="Arial" w:cs="Arial"/>
        </w:rPr>
        <w:t>-List of abbreviations: If not already included, please include a list of abbreviations used in the text as part of the manuscript text file following the title page. Use abbreviations sparingly in the text, and spell them out the first time you use them. Abbreviations used in tables should be spelled out at the bottom of the table.</w:t>
      </w:r>
    </w:p>
    <w:p>
      <w:pPr>
        <w:pStyle w:val="NormalWeb"/>
      </w:pPr>
      <w:r>
        <w:rPr>
          <w:rFonts w:ascii="Arial" w:hAnsi="Arial" w:cs="Arial"/>
        </w:rPr>
        <w:t>-Ethical review, Methods section: If not already included, please state in the Methods section that an ethics committee or institutional review board approved the study, and list the board's name. If ethical approval was waived or not necessary, please state the reason. If the study involves patient consent, state explicitly that informed consent was or was not given, and state the reason if not given.</w:t>
      </w:r>
    </w:p>
    <w:p>
      <w:pPr>
        <w:pStyle w:val="NormalWeb"/>
      </w:pPr>
      <w:r>
        <w:rPr>
          <w:rFonts w:ascii="Arial" w:hAnsi="Arial" w:cs="Arial"/>
        </w:rPr>
        <w:t>-Funding/Conflict of Interest information: List any source of funding or anything that could be perceived as a conflict of interest in the Acknowledgments section.</w:t>
      </w:r>
    </w:p>
    <w:p>
      <w:pPr>
        <w:pStyle w:val="NormalWeb"/>
      </w:pPr>
      <w:r>
        <w:rPr>
          <w:rFonts w:ascii="Arial" w:hAnsi="Arial" w:cs="Arial"/>
        </w:rPr>
        <w:t>-Acknowledgments: If you list anyone by name in the Acknowledgments section, please confirm that the person gives permission to be named.</w:t>
      </w:r>
    </w:p>
    <w:p/>
    <w:p>
      <w:pPr>
        <w:jc w:val="both"/>
      </w:pPr>
      <w:r>
        <w:rPr>
          <w:rFonts w:ascii="Arial" w:hAnsi="Arial" w:cs="Arial"/>
          <w:b/>
        </w:rPr>
        <w:t>Response to the editorial formatting comments</w:t>
      </w:r>
    </w:p>
    <w:p/>
    <w:p>
      <w:pPr>
        <w:jc w:val="both"/>
      </w:pPr>
      <w:r>
        <w:rPr>
          <w:rFonts w:ascii="Arial" w:hAnsi="Arial" w:cs="Arial"/>
        </w:rPr>
        <w:t>We thank the editorial office for the checklist and have worked through it in order.</w:t>
      </w:r>
    </w:p>
    <w:p/>
    <w:p>
      <w:pPr>
        <w:jc w:val="both"/>
      </w:pPr>
      <w:r>
        <w:rPr>
          <w:rFonts w:ascii="Arial" w:hAnsi="Arial" w:cs="Arial"/>
          <w:b/>
        </w:rPr>
        <w:t>Title page.</w:t>
      </w:r>
      <w:r>
        <w:rPr>
          <w:rFonts w:ascii="Arial" w:hAnsi="Arial" w:cs="Arial"/>
        </w:rPr>
        <w:t xml:space="preserve"> All author names, academic degrees and institutional affiliations are listed on the title page.</w:t>
      </w:r>
    </w:p>
    <w:p>
      <w:pPr>
        <w:jc w:val="both"/>
      </w:pPr>
      <w:r>
        <w:rPr>
          <w:rFonts w:ascii="Arial" w:hAnsi="Arial" w:cs="Arial"/>
          <w:b/>
        </w:rPr>
        <w:t>Title.</w:t>
      </w:r>
      <w:r>
        <w:rPr>
          <w:rFonts w:ascii="Arial" w:hAnsi="Arial" w:cs="Arial"/>
        </w:rPr>
        <w:t xml:space="preserve"> In accordance with the STROBE statement, the study design (a single-center retrospective cohort study) is stated in the title.</w:t>
      </w:r>
    </w:p>
    <w:p>
      <w:pPr>
        <w:jc w:val="both"/>
      </w:pPr>
      <w:r>
        <w:rPr>
          <w:rFonts w:ascii="Arial" w:hAnsi="Arial" w:cs="Arial"/>
          <w:b/>
        </w:rPr>
        <w:t>Abstract.</w:t>
      </w:r>
      <w:r>
        <w:rPr>
          <w:rFonts w:ascii="Arial" w:hAnsi="Arial" w:cs="Arial"/>
        </w:rPr>
        <w:t xml:space="preserve"> The abstract is structured under the headings Background, Methods, Results and Conclusions.</w:t>
      </w:r>
    </w:p>
    <w:p>
      <w:pPr>
        <w:jc w:val="both"/>
      </w:pPr>
      <w:r>
        <w:rPr>
          <w:rFonts w:ascii="Arial" w:hAnsi="Arial" w:cs="Arial"/>
          <w:b/>
        </w:rPr>
        <w:t>List of abbreviations.</w:t>
      </w:r>
      <w:r>
        <w:rPr>
          <w:rFonts w:ascii="Arial" w:hAnsi="Arial" w:cs="Arial"/>
        </w:rPr>
        <w:t xml:space="preserve"> The list of abbreviations following the title page has been completed. Abbreviations are spelled out at first use in the text and are defined at the foot of each table.</w:t>
      </w:r>
    </w:p>
    <w:p>
      <w:pPr>
        <w:jc w:val="both"/>
      </w:pPr>
      <w:r>
        <w:rPr>
          <w:rFonts w:ascii="Arial" w:hAnsi="Arial" w:cs="Arial"/>
          <w:b/>
        </w:rPr>
        <w:t>Ethical review.</w:t>
      </w:r>
      <w:r>
        <w:rPr>
          <w:rFonts w:ascii="Arial" w:hAnsi="Arial" w:cs="Arial"/>
        </w:rPr>
        <w:t xml:space="preserve"> The Methods state that the study was approved by the Institutional Review Board of Hacettepe University (SBA 2025/17-25, 09.09.2025) and that written informed consent was obtained from patients or their legal guardians.</w:t>
      </w:r>
    </w:p>
    <w:p>
      <w:pPr>
        <w:jc w:val="both"/>
      </w:pPr>
      <w:r>
        <w:rPr>
          <w:rFonts w:ascii="Arial" w:hAnsi="Arial" w:cs="Arial"/>
          <w:b/>
        </w:rPr>
        <w:t>Funding and conflicts of interest.</w:t>
      </w:r>
      <w:r>
        <w:rPr>
          <w:rFonts w:ascii="Arial" w:hAnsi="Arial" w:cs="Arial"/>
        </w:rPr>
        <w:t xml:space="preserve"> The declarations state that the study received no specific grant from any funding agency and that the authors have no conflicts of interest to declare.</w:t>
      </w:r>
    </w:p>
    <w:p>
      <w:pPr>
        <w:jc w:val="both"/>
      </w:pPr>
      <w:r>
        <w:rPr>
          <w:rFonts w:ascii="Arial" w:hAnsi="Arial" w:cs="Arial"/>
          <w:b/>
        </w:rPr>
        <w:t>Acknowledgments.</w:t>
      </w:r>
      <w:r>
        <w:rPr>
          <w:rFonts w:ascii="Arial" w:hAnsi="Arial" w:cs="Arial"/>
        </w:rPr>
        <w:t xml:space="preserve"> No individuals are named in the Acknowledgments, so no permissions were required.</w:t>
      </w:r>
    </w:p>
    <w:p/>
    <w:p>
      <w:pPr>
        <w:jc w:val="both"/>
      </w:pPr>
      <w:r>
        <w:rPr>
          <w:rFonts w:ascii="Arial" w:hAnsi="Arial" w:cs="Arial"/>
        </w:rPr>
        <w:t>We hope that the revised manuscript now meets the standards of Medicine and we look forward to your decision.</w:t>
      </w:r>
    </w:p>
    <w:sectPr w:rsidR="00223950" w:rsidSect="00F16F0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65A74"/>
    <w:multiLevelType w:val="multilevel"/>
    <w:tmpl w:val="AC70F8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27D267C3"/>
    <w:multiLevelType w:val="multilevel"/>
    <w:tmpl w:val="06D21B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B956D5"/>
    <w:multiLevelType w:val="multilevel"/>
    <w:tmpl w:val="093A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0572A8"/>
    <w:multiLevelType w:val="multilevel"/>
    <w:tmpl w:val="E2CA08B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7D8C2B90"/>
    <w:multiLevelType w:val="multilevel"/>
    <w:tmpl w:val="B910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7760993">
    <w:abstractNumId w:val="3"/>
  </w:num>
  <w:num w:numId="2" w16cid:durableId="438139030">
    <w:abstractNumId w:val="0"/>
  </w:num>
  <w:num w:numId="3" w16cid:durableId="1407652782">
    <w:abstractNumId w:val="4"/>
  </w:num>
  <w:num w:numId="4" w16cid:durableId="272178291">
    <w:abstractNumId w:val="1"/>
  </w:num>
  <w:num w:numId="5" w16cid:durableId="17281393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74C"/>
    <w:rsid w:val="000C478E"/>
    <w:rsid w:val="000C7BA2"/>
    <w:rsid w:val="00100FAC"/>
    <w:rsid w:val="001065F9"/>
    <w:rsid w:val="001547EF"/>
    <w:rsid w:val="001B610C"/>
    <w:rsid w:val="001D0806"/>
    <w:rsid w:val="00223950"/>
    <w:rsid w:val="00250E2F"/>
    <w:rsid w:val="00267F58"/>
    <w:rsid w:val="00274868"/>
    <w:rsid w:val="0037338C"/>
    <w:rsid w:val="003F2E58"/>
    <w:rsid w:val="004002E7"/>
    <w:rsid w:val="004128BB"/>
    <w:rsid w:val="004726A6"/>
    <w:rsid w:val="004B5882"/>
    <w:rsid w:val="005B18EA"/>
    <w:rsid w:val="00604407"/>
    <w:rsid w:val="006938A2"/>
    <w:rsid w:val="00710F5A"/>
    <w:rsid w:val="007A6335"/>
    <w:rsid w:val="007D344E"/>
    <w:rsid w:val="0080782C"/>
    <w:rsid w:val="00837C3B"/>
    <w:rsid w:val="00880370"/>
    <w:rsid w:val="0088517C"/>
    <w:rsid w:val="008A6E49"/>
    <w:rsid w:val="008B3B19"/>
    <w:rsid w:val="00914DAD"/>
    <w:rsid w:val="00992F02"/>
    <w:rsid w:val="009A6916"/>
    <w:rsid w:val="009B5120"/>
    <w:rsid w:val="009B6AD2"/>
    <w:rsid w:val="009C3650"/>
    <w:rsid w:val="00A018EC"/>
    <w:rsid w:val="00A4174A"/>
    <w:rsid w:val="00A87414"/>
    <w:rsid w:val="00AF5979"/>
    <w:rsid w:val="00AF7DE5"/>
    <w:rsid w:val="00BC1078"/>
    <w:rsid w:val="00C142A6"/>
    <w:rsid w:val="00C4777B"/>
    <w:rsid w:val="00C854B6"/>
    <w:rsid w:val="00CC0A2D"/>
    <w:rsid w:val="00CC5C3C"/>
    <w:rsid w:val="00CD3DD4"/>
    <w:rsid w:val="00CE2077"/>
    <w:rsid w:val="00D20E8E"/>
    <w:rsid w:val="00D238D5"/>
    <w:rsid w:val="00DC1931"/>
    <w:rsid w:val="00DD77FF"/>
    <w:rsid w:val="00E1308E"/>
    <w:rsid w:val="00E3374C"/>
    <w:rsid w:val="00EF5486"/>
    <w:rsid w:val="00F16F02"/>
    <w:rsid w:val="00F3280A"/>
    <w:rsid w:val="00FD542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87908"/>
  <w15:chartTrackingRefBased/>
  <w15:docId w15:val="{9E444D14-FDB6-D44D-8F5A-4A6D7F289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6F02"/>
  </w:style>
  <w:style w:type="paragraph" w:styleId="Heading1">
    <w:name w:val="heading 1"/>
    <w:basedOn w:val="Normal"/>
    <w:next w:val="Normal"/>
    <w:link w:val="Heading1Char"/>
    <w:uiPriority w:val="9"/>
    <w:qFormat/>
    <w:rsid w:val="00E337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37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37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37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37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37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7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7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7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7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37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37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37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37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37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7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7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74C"/>
    <w:rPr>
      <w:rFonts w:eastAsiaTheme="majorEastAsia" w:cstheme="majorBidi"/>
      <w:color w:val="272727" w:themeColor="text1" w:themeTint="D8"/>
    </w:rPr>
  </w:style>
  <w:style w:type="paragraph" w:styleId="Title">
    <w:name w:val="Title"/>
    <w:basedOn w:val="Normal"/>
    <w:next w:val="Normal"/>
    <w:link w:val="TitleChar"/>
    <w:uiPriority w:val="10"/>
    <w:qFormat/>
    <w:rsid w:val="00E337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7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37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7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374C"/>
    <w:pPr>
      <w:spacing w:before="160"/>
      <w:jc w:val="center"/>
    </w:pPr>
    <w:rPr>
      <w:i/>
      <w:iCs/>
      <w:color w:val="404040" w:themeColor="text1" w:themeTint="BF"/>
    </w:rPr>
  </w:style>
  <w:style w:type="character" w:customStyle="1" w:styleId="QuoteChar">
    <w:name w:val="Quote Char"/>
    <w:basedOn w:val="DefaultParagraphFont"/>
    <w:link w:val="Quote"/>
    <w:uiPriority w:val="29"/>
    <w:rsid w:val="00E3374C"/>
    <w:rPr>
      <w:i/>
      <w:iCs/>
      <w:color w:val="404040" w:themeColor="text1" w:themeTint="BF"/>
    </w:rPr>
  </w:style>
  <w:style w:type="paragraph" w:styleId="ListParagraph">
    <w:name w:val="List Paragraph"/>
    <w:basedOn w:val="Normal"/>
    <w:uiPriority w:val="34"/>
    <w:qFormat/>
    <w:rsid w:val="00E3374C"/>
    <w:pPr>
      <w:ind w:left="720"/>
      <w:contextualSpacing/>
    </w:pPr>
  </w:style>
  <w:style w:type="character" w:styleId="IntenseEmphasis">
    <w:name w:val="Intense Emphasis"/>
    <w:basedOn w:val="DefaultParagraphFont"/>
    <w:uiPriority w:val="21"/>
    <w:qFormat/>
    <w:rsid w:val="00E3374C"/>
    <w:rPr>
      <w:i/>
      <w:iCs/>
      <w:color w:val="0F4761" w:themeColor="accent1" w:themeShade="BF"/>
    </w:rPr>
  </w:style>
  <w:style w:type="paragraph" w:styleId="IntenseQuote">
    <w:name w:val="Intense Quote"/>
    <w:basedOn w:val="Normal"/>
    <w:next w:val="Normal"/>
    <w:link w:val="IntenseQuoteChar"/>
    <w:uiPriority w:val="30"/>
    <w:qFormat/>
    <w:rsid w:val="00E337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374C"/>
    <w:rPr>
      <w:i/>
      <w:iCs/>
      <w:color w:val="0F4761" w:themeColor="accent1" w:themeShade="BF"/>
    </w:rPr>
  </w:style>
  <w:style w:type="character" w:styleId="IntenseReference">
    <w:name w:val="Intense Reference"/>
    <w:basedOn w:val="DefaultParagraphFont"/>
    <w:uiPriority w:val="32"/>
    <w:qFormat/>
    <w:rsid w:val="00E3374C"/>
    <w:rPr>
      <w:b/>
      <w:bCs/>
      <w:smallCaps/>
      <w:color w:val="0F4761" w:themeColor="accent1" w:themeShade="BF"/>
      <w:spacing w:val="5"/>
    </w:rPr>
  </w:style>
  <w:style w:type="paragraph" w:styleId="NormalWeb">
    <w:name w:val="Normal (Web)"/>
    <w:basedOn w:val="Normal"/>
    <w:uiPriority w:val="99"/>
    <w:unhideWhenUsed/>
    <w:rsid w:val="00F16F02"/>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customStyle="1" w:styleId="apple-converted-space">
    <w:name w:val="apple-converted-space"/>
    <w:basedOn w:val="DefaultParagraphFont"/>
    <w:rsid w:val="00F16F02"/>
  </w:style>
  <w:style w:type="character" w:customStyle="1" w:styleId="citation-145">
    <w:name w:val="citation-145"/>
    <w:basedOn w:val="DefaultParagraphFont"/>
    <w:rsid w:val="00F16F02"/>
  </w:style>
  <w:style w:type="character" w:customStyle="1" w:styleId="citation-142">
    <w:name w:val="citation-142"/>
    <w:basedOn w:val="DefaultParagraphFont"/>
    <w:rsid w:val="00F16F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528788">
      <w:bodyDiv w:val="1"/>
      <w:marLeft w:val="0"/>
      <w:marRight w:val="0"/>
      <w:marTop w:val="0"/>
      <w:marBottom w:val="0"/>
      <w:divBdr>
        <w:top w:val="none" w:sz="0" w:space="0" w:color="auto"/>
        <w:left w:val="none" w:sz="0" w:space="0" w:color="auto"/>
        <w:bottom w:val="none" w:sz="0" w:space="0" w:color="auto"/>
        <w:right w:val="none" w:sz="0" w:space="0" w:color="auto"/>
      </w:divBdr>
      <w:divsChild>
        <w:div w:id="1891846052">
          <w:marLeft w:val="0"/>
          <w:marRight w:val="0"/>
          <w:marTop w:val="0"/>
          <w:marBottom w:val="0"/>
          <w:divBdr>
            <w:top w:val="none" w:sz="0" w:space="0" w:color="auto"/>
            <w:left w:val="none" w:sz="0" w:space="0" w:color="auto"/>
            <w:bottom w:val="none" w:sz="0" w:space="0" w:color="auto"/>
            <w:right w:val="none" w:sz="0" w:space="0" w:color="auto"/>
          </w:divBdr>
          <w:divsChild>
            <w:div w:id="88344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96493">
      <w:bodyDiv w:val="1"/>
      <w:marLeft w:val="0"/>
      <w:marRight w:val="0"/>
      <w:marTop w:val="0"/>
      <w:marBottom w:val="0"/>
      <w:divBdr>
        <w:top w:val="none" w:sz="0" w:space="0" w:color="auto"/>
        <w:left w:val="none" w:sz="0" w:space="0" w:color="auto"/>
        <w:bottom w:val="none" w:sz="0" w:space="0" w:color="auto"/>
        <w:right w:val="none" w:sz="0" w:space="0" w:color="auto"/>
      </w:divBdr>
    </w:div>
    <w:div w:id="232666536">
      <w:bodyDiv w:val="1"/>
      <w:marLeft w:val="0"/>
      <w:marRight w:val="0"/>
      <w:marTop w:val="0"/>
      <w:marBottom w:val="0"/>
      <w:divBdr>
        <w:top w:val="none" w:sz="0" w:space="0" w:color="auto"/>
        <w:left w:val="none" w:sz="0" w:space="0" w:color="auto"/>
        <w:bottom w:val="none" w:sz="0" w:space="0" w:color="auto"/>
        <w:right w:val="none" w:sz="0" w:space="0" w:color="auto"/>
      </w:divBdr>
    </w:div>
    <w:div w:id="521550747">
      <w:bodyDiv w:val="1"/>
      <w:marLeft w:val="0"/>
      <w:marRight w:val="0"/>
      <w:marTop w:val="0"/>
      <w:marBottom w:val="0"/>
      <w:divBdr>
        <w:top w:val="none" w:sz="0" w:space="0" w:color="auto"/>
        <w:left w:val="none" w:sz="0" w:space="0" w:color="auto"/>
        <w:bottom w:val="none" w:sz="0" w:space="0" w:color="auto"/>
        <w:right w:val="none" w:sz="0" w:space="0" w:color="auto"/>
      </w:divBdr>
    </w:div>
    <w:div w:id="1555895692">
      <w:bodyDiv w:val="1"/>
      <w:marLeft w:val="0"/>
      <w:marRight w:val="0"/>
      <w:marTop w:val="0"/>
      <w:marBottom w:val="0"/>
      <w:divBdr>
        <w:top w:val="none" w:sz="0" w:space="0" w:color="auto"/>
        <w:left w:val="none" w:sz="0" w:space="0" w:color="auto"/>
        <w:bottom w:val="none" w:sz="0" w:space="0" w:color="auto"/>
        <w:right w:val="none" w:sz="0" w:space="0" w:color="auto"/>
      </w:divBdr>
    </w:div>
    <w:div w:id="1585869894">
      <w:bodyDiv w:val="1"/>
      <w:marLeft w:val="0"/>
      <w:marRight w:val="0"/>
      <w:marTop w:val="0"/>
      <w:marBottom w:val="0"/>
      <w:divBdr>
        <w:top w:val="none" w:sz="0" w:space="0" w:color="auto"/>
        <w:left w:val="none" w:sz="0" w:space="0" w:color="auto"/>
        <w:bottom w:val="none" w:sz="0" w:space="0" w:color="auto"/>
        <w:right w:val="none" w:sz="0" w:space="0" w:color="auto"/>
      </w:divBdr>
      <w:divsChild>
        <w:div w:id="1879972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8396056">
      <w:bodyDiv w:val="1"/>
      <w:marLeft w:val="0"/>
      <w:marRight w:val="0"/>
      <w:marTop w:val="0"/>
      <w:marBottom w:val="0"/>
      <w:divBdr>
        <w:top w:val="none" w:sz="0" w:space="0" w:color="auto"/>
        <w:left w:val="none" w:sz="0" w:space="0" w:color="auto"/>
        <w:bottom w:val="none" w:sz="0" w:space="0" w:color="auto"/>
        <w:right w:val="none" w:sz="0" w:space="0" w:color="auto"/>
      </w:divBdr>
      <w:divsChild>
        <w:div w:id="209340437">
          <w:marLeft w:val="0"/>
          <w:marRight w:val="0"/>
          <w:marTop w:val="0"/>
          <w:marBottom w:val="0"/>
          <w:divBdr>
            <w:top w:val="none" w:sz="0" w:space="0" w:color="auto"/>
            <w:left w:val="none" w:sz="0" w:space="0" w:color="auto"/>
            <w:bottom w:val="none" w:sz="0" w:space="0" w:color="auto"/>
            <w:right w:val="none" w:sz="0" w:space="0" w:color="auto"/>
          </w:divBdr>
          <w:divsChild>
            <w:div w:id="89223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159734">
      <w:bodyDiv w:val="1"/>
      <w:marLeft w:val="0"/>
      <w:marRight w:val="0"/>
      <w:marTop w:val="0"/>
      <w:marBottom w:val="0"/>
      <w:divBdr>
        <w:top w:val="none" w:sz="0" w:space="0" w:color="auto"/>
        <w:left w:val="none" w:sz="0" w:space="0" w:color="auto"/>
        <w:bottom w:val="none" w:sz="0" w:space="0" w:color="auto"/>
        <w:right w:val="none" w:sz="0" w:space="0" w:color="auto"/>
      </w:divBdr>
      <w:divsChild>
        <w:div w:id="18097397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titus xmlns="http://schemas.titus.com/TitusProperties/">
  <TitusGUID xmlns="">5ebc815b-930c-4830-8e1c-34e798fd7c91</TitusGUID>
  <TitusMetadata xmlns="">eyJucyI6IkFTRUxTQU4iLCJwcm9wcyI6W3sibiI6IkxBTkdVQUdFIiwidmFscyI6W3sidmFsdWUiOiJUUiJ9XX0seyJuIjoiQ0FURUdPUlkiLCJ2YWxzIjpbeyJ2YWx1ZSI6IkNUMSJ9XX0seyJuIjoiTUlMTElDTEFTU0lGSUNBVElPTiIsInZhbHMiOlt7InZhbHVlIjoiQUhjMm4zQjlzIn1dfSx7Im4iOiJOQVRPQ0xBU1NJRklDQVRJT04iLCJ2YWxzIjpbXX0seyJuIjoiS1ZLSyIsInZhbHMiOlt7InZhbHVlIjoiQXprZDVueDExIn1dfSx7Im4iOiJMQUJFTElORyIsInZhbHMiOlt7InZhbHVlIjoiTGFiZWxpbmcyIn1dfV19</TitusMetadata>
</titus>
</file>

<file path=customXml/itemProps1.xml><?xml version="1.0" encoding="utf-8"?>
<ds:datastoreItem xmlns:ds="http://schemas.openxmlformats.org/officeDocument/2006/customXml" ds:itemID="{AC0B3230-EF1A-40D1-A3F7-1F24C72CD3F6}">
  <ds:schemaRefs>
    <ds:schemaRef ds:uri="http://schemas.titus.com/TitusProperties/"/>
    <ds:schemaRef ds:uri=""/>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9</Pages>
  <Words>2256</Words>
  <Characters>12865</Characters>
  <Application>Microsoft Office Word</Application>
  <DocSecurity>0</DocSecurity>
  <Lines>107</Lines>
  <Paragraphs>30</Paragraphs>
  <ScaleCrop>false</ScaleCrop>
  <Company/>
  <LinksUpToDate>false</LinksUpToDate>
  <CharactersWithSpaces>15091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Pınar ÖZDEMiR YAŞAR</dc:creator>
  <cp:keywords/>
  <dc:description/>
  <cp:lastModifiedBy>Pınar ÖZDEMiR YAŞAR</cp:lastModifiedBy>
  <cp:revision>17</cp:revision>
  <dcterms:created xsi:type="dcterms:W3CDTF">2026-08-28T06:22:00Z</dcterms:created>
  <dcterms:modified xsi:type="dcterms:W3CDTF">2026-08-31T19:13:00Z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5ebc815b-930c-4830-8e1c-34e798fd7c91</vt:lpwstr>
  </property>
  <property fmtid="{D5CDD505-2E9C-101B-9397-08002B2CF9AE}" pid="3" name="LANGUAGE">
    <vt:lpwstr>TR</vt:lpwstr>
  </property>
  <property fmtid="{D5CDD505-2E9C-101B-9397-08002B2CF9AE}" pid="4" name="CATEGORY">
    <vt:lpwstr>CT1</vt:lpwstr>
  </property>
  <property fmtid="{D5CDD505-2E9C-101B-9397-08002B2CF9AE}" pid="5" name="MILLICLASSIFICATION">
    <vt:lpwstr>AHc2n3B9s</vt:lpwstr>
  </property>
  <property fmtid="{D5CDD505-2E9C-101B-9397-08002B2CF9AE}" pid="6" name="KVKK">
    <vt:lpwstr>Azkd5nx11</vt:lpwstr>
  </property>
  <property fmtid="{D5CDD505-2E9C-101B-9397-08002B2CF9AE}" pid="7" name="LABELING">
    <vt:lpwstr>Labeling2</vt:lpwstr>
  </property>
</Properties>
</file>