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53B3" w14:textId="51038F73" w:rsidR="00F44740" w:rsidRDefault="00F44740" w:rsidP="00F44740">
      <w:pPr>
        <w:spacing w:after="80" w:line="240" w:lineRule="auto" w:before="0"/>
        <w:ind w:firstLine="0" w:left="0" w:right="0"/>
        <w:jc w:val="center"/>
      </w:pPr>
      <w:r>
        <w:rPr>
          <w:rFonts w:ascii="Times New Roman" w:hAnsi="Times New Roman" w:cs="Times New Roman" w:eastAsia="Times New Roman"/>
          <w:b/>
          <w:i w:val="0"/>
          <w:sz w:val="24"/>
          <w:u w:val="none"/>
        </w:rPr>
        <w:t>BÖLÜM 7</w:t>
      </w:r>
    </w:p>
    <w:p w14:paraId="74B00684" w14:textId="26E6829A" w:rsidR="00F44740" w:rsidRDefault="00F44740" w:rsidP="00F44740">
      <w:pPr>
        <w:spacing w:line="240" w:lineRule="auto" w:after="200" w:before="0"/>
        <w:ind w:firstLine="0" w:left="0" w:right="0"/>
        <w:jc w:val="center"/>
      </w:pPr>
      <w:r>
        <w:rPr>
          <w:rFonts w:ascii="Times New Roman" w:hAnsi="Times New Roman" w:cs="Times New Roman" w:eastAsia="Times New Roman"/>
          <w:b/>
          <w:i w:val="0"/>
          <w:sz w:val="32"/>
          <w:u w:val="none"/>
        </w:rPr>
        <w:t>TİMEKTOMİ ANESTEZİ YÖNETİMİ</w:t>
      </w:r>
    </w:p>
    <w:p w14:paraId="1FF6E5F9" w14:textId="77777777" w:rsidR="00F44740" w:rsidRDefault="00F44740" w:rsidP="00F44740">
      <w:pPr>
        <w:spacing w:after="0" w:line="240" w:lineRule="auto" w:before="0"/>
        <w:ind w:firstLine="0" w:left="0" w:right="0"/>
        <w:jc w:val="center"/>
      </w:pPr>
      <w:r>
        <w:rPr>
          <w:rFonts w:ascii="Times New Roman" w:hAnsi="Times New Roman" w:cs="Times New Roman" w:eastAsia="Times New Roman"/>
          <w:b w:val="0"/>
          <w:i w:val="0"/>
          <w:sz w:val="24"/>
          <w:u w:val="none"/>
        </w:rPr>
        <w:t>Öğr. Gör. Dr. Pınar Özdemir Yaşar</w:t>
      </w:r>
    </w:p>
    <w:p w14:paraId="5DE14A36" w14:textId="77777777" w:rsidR="00F44740" w:rsidRDefault="00F44740" w:rsidP="00F44740">
      <w:pPr>
        <w:spacing w:after="240" w:line="240" w:lineRule="auto" w:before="0"/>
        <w:ind w:firstLine="0" w:left="0" w:right="0"/>
        <w:jc w:val="center"/>
      </w:pPr>
      <w:r>
        <w:rPr>
          <w:rFonts w:ascii="Times New Roman" w:hAnsi="Times New Roman" w:cs="Times New Roman" w:eastAsia="Times New Roman"/>
          <w:b w:val="0"/>
          <w:i w:val="0"/>
          <w:sz w:val="24"/>
          <w:u w:val="none"/>
        </w:rPr>
        <w:t>Doç. Dr. Başak Akça</w:t>
      </w:r>
    </w:p>
    <w:p w14:paraId="4E62F925" w14:textId="4E613063" w:rsidR="00AF7DE5" w:rsidRDefault="00BF6E03" w:rsidP="00BF6E03">
      <w:pPr>
        <w:spacing w:after="0" w:line="360" w:lineRule="auto" w:before="0"/>
        <w:ind w:firstLine="0" w:left="0" w:right="0"/>
        <w:jc w:val="both"/>
      </w:pPr>
      <w:r w:rsidRPr="00BF6E03">
        <w:rPr>
          <w:rFonts w:ascii="Times New Roman" w:hAnsi="Times New Roman" w:cs="Times New Roman" w:eastAsia="Times New Roman"/>
          <w:b w:val="0"/>
          <w:i w:val="0"/>
          <w:sz w:val="22"/>
          <w:u w:val="none"/>
        </w:rPr>
        <w:t>Robotik timektomi planlanan ve son altı aydır piridostigmin ile düşük doz prednizolon tedavisi gören 35 yaşındaki yaygın tip Myastenia Gravis (MG) tanılı olgunun preoperatif değerlendirmesinde; nöromüsküler kavşaktaki postsinaptik asetilkolin reseptörlerine karşı gelişen otoimmün antikorların neden olduğu iletim defektine sekonder olarak hafif düzeyde pitozis saptanmış, ancak yutma güçlüğü gibi bulbar semptomlar veya istirahat dispnesi izlenmemiştir. Hastanın solunum rezervinin objektif değerlendirmesi amacıyla yapılan spirometrik ölçümlerde vital kapasitesi (VC) 2,5 L olarak kaydedilmiş olup, bu değerin operasyon sırasındaki ventilatuvar gereksinimleri karşılayabilecek düzeyde olduğu öngörülmüştür. Cerrahi stresin ve anestezi uygulamasının tetikleyebileceği myastenik kriz riskini minimize etmek ve nöromüsküler fonksiyonları optimal düzeyde tutmak amacıyla, hastanın mevcut antikolinesteraz farmakoterapisi cerrahi sabahına dek modifiye edilmeden sürdürülmüştür. Depolarizan olmayan nöromüsküler bloker ajanlara karşı öngörülen artmış farmakodinamik duyarlılık sebebiyle, intraoperatif blokaj derinliğinin hassas bir şekilde titre edilebilmesi için operasyon salonuna alınan hastanın standart hemodinamik monitörizasyonuna ek olarak kantitatif "train-of-four" (TOF) nöromüsküler iletim monitörizasyonu entegre edilmiş ve olgu, hemodinamik parametreleri stabil bir şekilde anestezi indüksiyonu uygulanmak üzere operasyon masasında hazır hale getirilmiştir.</w:t>
      </w:r>
    </w:p>
    <w:p w14:paraId="21F7B156"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8"/>
          <w:u w:val="none"/>
          <w:lang/>
        </w:rPr>
        <w:t>I. PREOPERATİF DEĞERLENDİRME VE OPTİMİZASYON</w:t>
      </w:r>
    </w:p>
    <w:p w14:paraId="365AEAC3"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1 (Farmakoterapi Yönetimi): MG tanılı bu hastada cerrahi sabahı antikolinesteraz (piridostigmin) tedavisinin devam ettirilmesi veya kesilmesi kararında hangi klinik faktörler rol oynar? Her iki yaklaşımın intraoperatif nöromüsküler blokaj ve postoperatif kolinerjik yük açısından avantaj ve dezavantajları nelerdir?</w:t>
      </w:r>
    </w:p>
    <w:p w14:paraId="58ED0F5C"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2 (Solunum Rezervi ve Risk Skorlaması): Hastanın preoperatif vital kapasitesinin (VC) 2,5 L olması klinik olarak ne ifade eder? Leventhal kriterleri gibi spesifik risk skorlama sistemleri göz önüne alındığında, postoperatif mekanik ventilasyon ihtiyacını öngörmede kullanılan diğer majör prediktif faktörler (hastalık süresi, günlük piridostigmin dozu, bulbar tutulum vb.) nelerdir?</w:t>
      </w:r>
    </w:p>
    <w:p w14:paraId="19731211"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3 (Premedikasyon ve Sedasyon): Preoperatif anksiyete yönetimi için benzodiazepin veya opioid grubu ajanların rutin kullanımı MG hastalarında neden rölatif kontrendikedir? Premedikasyon uygulanması gerekiyorsa hangi farmakolojik veya non-farmakolojik stratejiler tercih edilmelidir?</w:t>
      </w:r>
    </w:p>
    <w:p w14:paraId="6E88E140"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4 (Eşlik Eden Patolojiler ve Hazırlık): Hastada timoma şüphesi ve otoimmün zemin (örn. tiroid disfonksiyonu) bulunması anestezi hazırlığını nasıl etkiler? Preoperatif dönemde hastanın bulbar semptomlarının şiddetlenmesi durumunda plazmaferez veya İntravenöz İmmünoglobulin (IVIG) tedavisinin endikasyonları ve zamanlaması nasıl olmalıdır?</w:t>
      </w:r>
    </w:p>
    <w:p w14:paraId="1436549B"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8"/>
          <w:u w:val="none"/>
          <w:lang/>
        </w:rPr>
        <w:t>II. ANESTEZİ YÖNETİMİ VE İNTRAOPERATİF STRATEJİLER</w:t>
      </w:r>
    </w:p>
    <w:p w14:paraId="035877A2"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5 (Nöromüsküler Bloker Farmakodinamiği): MG patofizyolojisi göz önüne alındığında, hastanın depolarizan (süksinilkolin) ve depolarizan olmayan nöromüsküler blokerlere (NMB) farmakodinamik yanıtı normal popülasyona göre nasıl bir farklılık gösterir?</w:t>
      </w:r>
    </w:p>
    <w:p w14:paraId="73F2339A"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6 (İndüksiyon Stratejileri): NMB kullanımına bağlı postoperatif uzamış paralizi riskini ekarte etmek amacıyla, bu hastada endotrakeal entübasyon tamamen NMB kullanılmadan (sadece propofol, yüksek doz remifentanil ve topikal anestezi ile) güvenli bir şekilde gerçekleştirilebilir mi?</w:t>
      </w:r>
    </w:p>
    <w:p w14:paraId="2DB28C2A"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7 (Anestezi İdamesi: Volatil vs. TİVA): Anestezi idamesinde volatil anesteziklerin (örn. sevofluran, desfluran) intrinsek nöromüsküler bloke edici etkileri MG hastalarında nasıl bir avantaj veya dezavantaj yaratır? Total İntravenöz Anestezi (TİVA) ile volatil anestezi idamesini bu hasta grubu özelinde karşılaştırınız.</w:t>
      </w:r>
    </w:p>
    <w:p w14:paraId="35B7EC6B"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8 (Robotik Cerrahi Fizyolojisi): Robotik timektomi sırasında uygulanacak CO2​ insüflasyonunun (kapnotoraks) ve hastaya verilecek pozisyonun intratorasik basınç, akciğer kompliyansı, venöz dönüş ve genel hemodinami üzerindeki olası etkileri nelerdir? Anestezi ekibi bu fizyolojik değişiklikleri akciğer koruyucu ventilasyon parametreleriyle nasıl yönetmelidir?</w:t>
      </w:r>
    </w:p>
    <w:p w14:paraId="6BF59172"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9 (Monitörizasyon): Nöromüsküler fonksiyonun intraoperatif takibinde kantitatif "Train-of-Four" (TOF) monitörizasyonu neden altın standarttır? Yalnızca klinik belirtilere (örneğin solunum eforu) veya kalitatif TOF (görsel/taktil) değerlendirmesine güvenmek neden risklidir?</w:t>
      </w:r>
    </w:p>
    <w:p w14:paraId="46D9B4AE"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8"/>
          <w:u w:val="none"/>
          <w:lang/>
        </w:rPr>
        <w:t>III. GERİ DÖNDÜRME, EKSTÜBASYON VE POSTOPERATİF BAKIM</w:t>
      </w:r>
    </w:p>
    <w:p w14:paraId="28F55134"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10 (Nöromüsküler Blokajın Antagonizması): İntraoperatif dönemde roküronyum kullanıldığı varsayıldığında, cerrahi bitiminde blokajın antagonize edilmesinde geleneksel ajanlar (neostigmin/glikopirolat) ile sugammadeks kullanımı arasındaki temel farmakolojik farklar nelerdir? Sugammadeks kullanımının "fast-track" (erken ekstübasyon) protokollerindeki yeri nedir?</w:t>
      </w:r>
    </w:p>
    <w:p w14:paraId="6638F122"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11 (Ekstübasyon Kriterleri): MG hastalarında TOF oranının &gt;0,9 olması güvenli ekstübasyon için tek başına yeterli midir? Beş saniyelik baş kaldırma testi, inspiratuar negatif basınç ölçümü ve vital kapasitenin &gt;15 ml/kg olması gibi ek klinik kriterlerin önemi nedir?</w:t>
      </w:r>
    </w:p>
    <w:p w14:paraId="31879CDD"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12 (Postoperatif Nörolojik Krizler): Postoperatif dönemde hastada solunum kaslarında progresif zayıflık, sekresyon artışı ve dispne gelişmesi durumunda; myastenik kriz ile kolinerjik kriz ayrımı klinik bulgular ve farmakolojik testler (örn. Edrofonyum/Tensilon testi) ile nasıl yapılır?</w:t>
      </w:r>
    </w:p>
    <w:p w14:paraId="3A999943" w14:textId="77777777" w:rsidR="006F75B5" w:rsidRPr="006F75B5" w:rsidRDefault="006F75B5" w:rsidP="006F75B5">
      <w:pPr>
        <w:spacing w:after="120" w:line="360" w:lineRule="auto" w:before="0"/>
        <w:ind w:firstLine="0" w:left="0" w:right="0"/>
        <w:jc w:val="left"/>
        <w:rPr>
          <w:lang/>
        </w:rPr>
      </w:pPr>
      <w:r w:rsidRPr="006F75B5">
        <w:rPr>
          <w:rFonts w:ascii="Times New Roman" w:hAnsi="Times New Roman" w:cs="Times New Roman" w:eastAsia="Times New Roman"/>
          <w:b/>
          <w:bCs/>
          <w:i w:val="0"/>
          <w:sz w:val="24"/>
          <w:u w:val="none"/>
          <w:lang/>
        </w:rPr>
        <w:t>Soru 13 (Postoperatif Analjezi): Postoperatif ağrı yönetiminde solunum depresyonu riskinden kaçınmak için sistemik opioidlerin kullanımını minimize edecek "opioid-sparing" (opioid koruyucu) analjezi stratejileri nelerdir? Multimodal analjezide bölgesel tekniklerin (örn. Erektör Spina Plan bloğu veya paravertebral blok) rolü nedir?</w:t>
      </w:r>
    </w:p>
    <w:p w14:paraId="606C33BD" w14:textId="77777777" w:rsidR="0091556F" w:rsidRPr="006F75B5" w:rsidRDefault="0091556F" w:rsidP="0091556F">
      <w:pPr>
        <w:spacing w:after="120" w:line="360" w:lineRule="auto" w:before="0"/>
        <w:ind w:firstLine="0" w:left="0" w:right="0"/>
        <w:jc w:val="left"/>
        <w:rPr>
          <w:lang/>
        </w:rPr>
      </w:pPr>
      <w:r w:rsidRPr="006F75B5">
        <w:rPr>
          <w:rFonts w:ascii="Times New Roman" w:hAnsi="Times New Roman" w:cs="Times New Roman" w:eastAsia="Times New Roman"/>
          <w:b/>
          <w:bCs/>
          <w:i w:val="0"/>
          <w:sz w:val="28"/>
          <w:u w:val="none"/>
          <w:lang/>
        </w:rPr>
        <w:t>I. PREOPERATİF DEĞERLENDİRME VE OPTİMİZASYON</w:t>
      </w:r>
    </w:p>
    <w:p w14:paraId="3209D392" w14:textId="77777777" w:rsidR="0091556F" w:rsidRDefault="0091556F" w:rsidP="0091556F">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1 (Farmakoterapi Yönetimi): MG tanılı bu hastada cerrahi sabahı antikolinesteraz (piridostigmin) tedavisinin devam ettirilmesi veya kesilmesi kararında hangi klinik faktörler rol oynar? Her iki yaklaşımın intraoperatif nöromüsküler blokaj ve postoperatif kolinerjik yük açısından avantaj ve dezavantajları nelerdir?</w:t>
      </w:r>
    </w:p>
    <w:p w14:paraId="58AF434B" w14:textId="524A078A"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i w:val="0"/>
          <w:sz w:val="22"/>
          <w:u w:val="none"/>
          <w:lang/>
        </w:rPr>
        <w:t>Myastenia Gravis (MG) tanılı olgularda perioperatif dönemde antikolinesteraz (piridostigmin) tedavisinin cerrahi sabahı devam ettirilmesi veya kesilmesi (withholding) kararı, anestezi yönetiminin en kritik farmakolojik dönemeçlerinden biridir. Probleme dayalı yaklaşımla, bu klinik kararın arkasındaki fizyopatolojik dinamikleri ve her iki stratejinin rasyonelini şu şekilde inceleyebiliriz:</w:t>
      </w:r>
    </w:p>
    <w:p w14:paraId="56B57BF2"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1. Kararda Rol Oynayan Klinik Faktörler</w:t>
      </w:r>
    </w:p>
    <w:p w14:paraId="0B60DBBE"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i w:val="0"/>
          <w:sz w:val="22"/>
          <w:u w:val="none"/>
          <w:lang/>
        </w:rPr>
        <w:t>Cerrahi sabahı ilaç yönetim stratejisini belirlerken anestezi uzmanı şu temel klinik parametreleri kılavuzlar eşliğinde değerlendirmelidir:</w:t>
      </w:r>
    </w:p>
    <w:p w14:paraId="1DDABFEC"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Hastalığın Klinik Şiddeti ve Tutulumu: Hastanın semptomlarının jeneralliği (Oküler vs. Jeneralize MG) ve preoperatif dönemdeki klinik stabilitesi en belirleyici faktördür.</w:t>
      </w:r>
    </w:p>
    <w:p w14:paraId="6C01878A"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Bulbar Semptomların Varlığı: Disfaji (yutma güçlüğü), dizartri veya öksürük refleksinde zayıflık öyküsü olan hastalarda, indüksiyon öncesi aspirasyon riskini önlemek adına kas gücünün korunması hayati önem taşır.</w:t>
      </w:r>
    </w:p>
    <w:p w14:paraId="11B9ABED"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Solunum Rezervi ve Akciğer Fonksiyonları: Hastanın bazal solunum fonksiyon testleri, zorunlu vital kapasitesi (FVC) ve solunum kaslarının gücü (bu vakada VC: 2,5 L) analiz edilir.</w:t>
      </w:r>
    </w:p>
    <w:p w14:paraId="1B056111" w14:textId="5F1561B4"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Günlük Piridostigmin Gereksinimi: Yüksek doz (&gt;600 mg/gün) antikolinesteraz kullanan olgular, ilaca bağımlılığı yüksek ve tedavi kesildiğinde hızla dekompanse olabilecek instabil grubu temsil eder.</w:t>
      </w:r>
    </w:p>
    <w:p w14:paraId="386984F8"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Cerrahi Girişimin Niteliği: Robotik timektomide uygulanan CO2​ insüflasyonu (kapnotoraks) ve solunumsal mekanikleri zorlayan cerrahi pozisyonlar, preoperatif kas gücünün maksimum düzeyde tutulmasını gerektirir.</w:t>
      </w:r>
    </w:p>
    <w:p w14:paraId="431EF5FC"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2. Stratejilerin Karşılaştırmalı Analizi</w:t>
      </w:r>
    </w:p>
    <w:p w14:paraId="15CFA0DD"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A. Piridostigminin Cerrahi Sabahı Devam Ettirilmesi</w:t>
      </w:r>
    </w:p>
    <w:p w14:paraId="595AE95E"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i w:val="0"/>
          <w:sz w:val="22"/>
          <w:u w:val="none"/>
          <w:lang/>
        </w:rPr>
        <w:t>Bu yaklaşımda hastaya oral sabah dozu ameliyattan 1-2 saat önce minimal su ile verilir veya intravenöz ekvivalent doza (oral dozun 1/30'u) dönüştürülerek titre edilir.</w:t>
      </w:r>
    </w:p>
    <w:p w14:paraId="0FB7A600"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Avantajları:</w:t>
      </w:r>
    </w:p>
    <w:p w14:paraId="1368023A"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Preoperatif Solunum Stabilitesi: Ameliyathaneye transfer ve indüksiyon öncesindeki hassas süreçte akut interkostal ve diyafragmatik kas zayıflığı önlenir; anksiyetenin tetikleyebileceği myastenik kriz riski ekarte edilir.</w:t>
      </w:r>
    </w:p>
    <w:p w14:paraId="182A35B4"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Bulbar Koruma: Yutkunma ve koruyucu hava yolu refleksleri korunarak preoperatif sekresyon yönetimi optimize edilir ve aspirasyon riski minimize edilir.</w:t>
      </w:r>
    </w:p>
    <w:p w14:paraId="265AEA92"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Dezavantajları:</w:t>
      </w:r>
    </w:p>
    <w:p w14:paraId="08E5B504"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Nöromüsküler Bloker Direnci: Sinaptik aralıktaki asetilkolinesteraz enziminin inhibisyonu sonucu artan asetilkolin, depolarizan olmayan nöromüsküler blokerlere (NMB) karşı kompetitif bir direnç yaratır. Bu durum cerrahi için gereken ideal kas gevşemesini sağlamak adına daha yüksek doz NMB gereksinimine yol açabilir.</w:t>
      </w:r>
    </w:p>
    <w:p w14:paraId="6F5E02FD"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Süksinilkolin Etkisinde Uzama: Eğer acil hava yolu kontrolü için depolarizan bir ajan (süksinilkolin) tercih edilirse, piridostigminin plazma kolinesterazını da inhibe etmesi nedeniyle ilacın etki süresi beklenmedik şekilde uzayabilir.</w:t>
      </w:r>
    </w:p>
    <w:p w14:paraId="04A58805"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Kolinerjik Aşırılık: İntraoperatif ve postoperatif dönemde bradikardi, profüz bronşiyal ve tükürük sekresyonu ile gastrointestinal hipermotilite gibi kolinerjik yan etkiler uyarılabilir.</w:t>
      </w:r>
    </w:p>
    <w:p w14:paraId="5D5FCEB4"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B. Piridostigminin Cerrahi Sabahı Kesilmesi (Withholding)</w:t>
      </w:r>
    </w:p>
    <w:p w14:paraId="3F89B3A5"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i w:val="0"/>
          <w:sz w:val="22"/>
          <w:u w:val="none"/>
          <w:lang/>
        </w:rPr>
        <w:t>Bu yaklaşımda ilacın cerrahi sabahındaki dozu atlanır ve postoperatif döneme kadar verilmez.</w:t>
      </w:r>
    </w:p>
    <w:p w14:paraId="20BD9C22"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Avantajları:</w:t>
      </w:r>
    </w:p>
    <w:p w14:paraId="251B7A01"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Öngörülebilir Nöromüsküler Blokaj: Depolarizan olmayan kas gevşeticilere karşı gelişen farmakodinamik direnç ortadan kalkar; ajanlar çok daha düşük dozlarda ve öngörülebilir şekilde titre edilebilir.</w:t>
      </w:r>
    </w:p>
    <w:p w14:paraId="2A242DF0"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Hava Yolu Temizliği: Kolinerjik reseptör stimülasyonu azaldığı için bronşiyal sekresyonlar ve tükürük salgısı minimum düzeyde kalır, bradikardi riski azalır.</w:t>
      </w:r>
    </w:p>
    <w:p w14:paraId="49032528"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Dezavantajları:</w:t>
      </w:r>
    </w:p>
    <w:p w14:paraId="18B548A0"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Preoperatif Miyastenik Dekompansasyon: İlacın yarı ömrünün bitmesiyle birlikte, hasta henüz indüksiyon masasına alınmadan akut solunum yetmezliği veya myastenik kriz tablosuna girebilir.</w:t>
      </w:r>
    </w:p>
    <w:p w14:paraId="7DAFD479" w14:textId="77777777" w:rsidR="00D21305" w:rsidRP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Hava Yolu Reflekslerinde Kayıp: İndüksiyon öncesi bulbar zayıflığın derinleşmesi, hastayı gastrik içerik aspirasyonuna karşı tamamen savunmasız bırakabilir.</w:t>
      </w:r>
    </w:p>
    <w:p w14:paraId="5D77288E"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Literatür Işığında Güncel Eğilim ve Konsensus</w:t>
      </w:r>
    </w:p>
    <w:p w14:paraId="3F5BC081" w14:textId="77777777" w:rsidR="00D21305" w:rsidRDefault="00D21305" w:rsidP="00D21305">
      <w:pPr>
        <w:spacing w:after="0" w:line="360" w:lineRule="auto" w:before="0"/>
        <w:ind w:firstLine="0" w:left="0" w:right="0"/>
        <w:jc w:val="both"/>
        <w:rPr>
          <w:lang/>
        </w:rPr>
      </w:pPr>
      <w:r w:rsidRPr="00D21305">
        <w:rPr>
          <w:rFonts w:ascii="Times New Roman" w:hAnsi="Times New Roman" w:cs="Times New Roman" w:eastAsia="Times New Roman"/>
          <w:b w:val="0"/>
          <w:bCs/>
          <w:i w:val="0"/>
          <w:sz w:val="22"/>
          <w:u w:val="none"/>
          <w:lang/>
        </w:rPr>
        <w:t>Klinik Özet: Güncel nöromüsküler hastalıklar ve anestezi yönetimi kılavuzları; kantitatif TOF monitörizasyonunun rutinleşmesi ve roküronyum blokajını saniyeler içinde geri döndürebilen sugammadeksin klinik kullanıma girmesiyle birlikte, piridostigminin cerrahi sabahı da kesilmeden devam ettirilmesi yönündeki görüşü desteklemektedir. Hastanın preoperatif solunum ve bulbar kas gücünün korunması, intraoperatif nöromüsküler bloker direnci riskine kıyasla klinik olarak daha üstün ve güvenli bir terapötik avantaj sağlamaktadır.</w:t>
      </w:r>
    </w:p>
    <w:p w14:paraId="3DF4E470" w14:textId="77777777" w:rsidR="00D21305" w:rsidRPr="00D21305" w:rsidRDefault="00D21305" w:rsidP="00D21305">
      <w:pPr>
        <w:spacing w:after="0" w:line="360" w:lineRule="auto" w:before="0"/>
        <w:ind w:firstLine="0" w:left="0" w:right="0"/>
        <w:jc w:val="both"/>
        <w:rPr>
          <w:b/>
          <w:bCs/>
          <w:lang/>
        </w:rPr>
      </w:pPr>
      <w:r w:rsidRPr="00D21305">
        <w:rPr>
          <w:rFonts w:ascii="Times New Roman" w:hAnsi="Times New Roman" w:cs="Times New Roman" w:eastAsia="Times New Roman"/>
          <w:b w:val="0"/>
          <w:bCs/>
          <w:i w:val="0"/>
          <w:sz w:val="22"/>
          <w:u w:val="none"/>
          <w:lang/>
        </w:rPr>
        <w:t>Kaynaklar</w:t>
      </w:r>
    </w:p>
    <w:p w14:paraId="76EC72C7" w14:textId="77777777" w:rsidR="00D21305" w:rsidRPr="00D21305" w:rsidRDefault="00D21305" w:rsidP="008023E1">
      <w:pPr>
        <w:spacing w:after="0" w:line="360" w:lineRule="auto" w:before="0"/>
        <w:ind w:left="0" w:firstLine="0" w:right="0"/>
        <w:jc w:val="both"/>
        <w:rPr>
          <w:lang/>
        </w:rPr>
      </w:pPr>
      <w:r w:rsidRPr="00D21305">
        <w:rPr>
          <w:rFonts w:ascii="Times New Roman" w:hAnsi="Times New Roman" w:cs="Times New Roman" w:eastAsia="Times New Roman"/>
          <w:b w:val="0"/>
          <w:i w:val="0"/>
          <w:iCs/>
          <w:sz w:val="22"/>
          <w:u w:val="none"/>
          <w:lang/>
        </w:rPr>
        <w:t>Özelleştirilmiş Nöromüsküler Hastalıklar ve Anestezi Yönetimi Kılavuzları ve Klinik Olgu Sunumları (MG Bölümü).</w:t>
      </w:r>
    </w:p>
    <w:p w14:paraId="67FC312E" w14:textId="77777777" w:rsidR="00D21305" w:rsidRPr="00D21305" w:rsidRDefault="00D21305" w:rsidP="008023E1">
      <w:pPr>
        <w:spacing w:after="0" w:line="360" w:lineRule="auto" w:before="0"/>
        <w:ind w:left="0" w:firstLine="0" w:right="0"/>
        <w:jc w:val="both"/>
        <w:rPr>
          <w:lang/>
        </w:rPr>
      </w:pPr>
      <w:r w:rsidRPr="00D21305">
        <w:rPr>
          <w:rFonts w:ascii="Times New Roman" w:hAnsi="Times New Roman" w:cs="Times New Roman" w:eastAsia="Times New Roman"/>
          <w:b w:val="0"/>
          <w:i w:val="0"/>
          <w:iCs/>
          <w:sz w:val="22"/>
          <w:u w:val="none"/>
          <w:lang/>
        </w:rPr>
        <w:t>Perioperatif Dönemde Myastenia Gravisli Hastalarda Multidisipliner Yaklaşım ve Solunum Optimizasyonu Literatür Özeti.</w:t>
      </w:r>
    </w:p>
    <w:p w14:paraId="50F79956" w14:textId="77777777" w:rsidR="00D21305" w:rsidRPr="00D21305" w:rsidRDefault="00D21305" w:rsidP="008023E1">
      <w:pPr>
        <w:spacing w:after="0" w:line="360" w:lineRule="auto" w:before="0"/>
        <w:ind w:left="0" w:firstLine="0" w:right="0"/>
        <w:jc w:val="both"/>
        <w:rPr>
          <w:lang/>
        </w:rPr>
      </w:pPr>
      <w:r w:rsidRPr="00D21305">
        <w:rPr>
          <w:rFonts w:ascii="Times New Roman" w:hAnsi="Times New Roman" w:cs="Times New Roman" w:eastAsia="Times New Roman"/>
          <w:b w:val="0"/>
          <w:i w:val="0"/>
          <w:iCs/>
          <w:sz w:val="22"/>
          <w:u w:val="none"/>
          <w:lang/>
        </w:rPr>
        <w:t>Torasik Cerrahi ve Robotik Timektomi Uygulamalarında Anestezik Yaklaşımlar ve Kapnotoraks Yönetimi.</w:t>
      </w:r>
    </w:p>
    <w:p w14:paraId="5609678F" w14:textId="41D6AC92" w:rsidR="00D66D59" w:rsidRPr="006F75B5" w:rsidRDefault="00D66D59" w:rsidP="00D66D59">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2 (Solunum Rezervi ve Risk Skorlaması): Hastanın preoperatif vital kapasitesinin (VC) 2,5 L olması klinik olarak ne ifade eder? Leventhal kriterleri gibi spesifik risk skorlama sistemleri göz önüne alındığında, postoperatif mekanik ventilasyon ihtiyacını öngörmede kullanılan diğer majör prediktif faktörler (hastalık süresi, günlük piridostigmin dozu, bulbar tutulum vb.) nelerdir?</w:t>
      </w:r>
    </w:p>
    <w:p w14:paraId="01654A58"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i w:val="0"/>
          <w:sz w:val="22"/>
          <w:u w:val="none"/>
          <w:lang/>
        </w:rPr>
        <w:t>Myastenia Gravis (MG) tanılı hastaların perioperatif yönetiminde, postoperatif dönemde mekanik ventilasyon ihtiyacının (POMV) doğru öngörülmesi, "fast-track" (erken ekstübasyon) protokollerinin başarısı ve yoğun bakım planlaması için kritik bir adımdır.</w:t>
      </w:r>
    </w:p>
    <w:p w14:paraId="25E1B82F" w14:textId="09F67C8F" w:rsidR="00C41D67" w:rsidRDefault="00C41D67" w:rsidP="00C41D67">
      <w:pPr>
        <w:spacing w:after="0" w:line="360" w:lineRule="auto" w:before="0"/>
        <w:ind w:firstLine="0" w:left="0" w:right="0"/>
        <w:jc w:val="both"/>
        <w:rPr>
          <w:lang/>
        </w:rPr>
      </w:pPr>
      <w:r>
        <w:rPr>
          <w:rFonts w:ascii="Times New Roman" w:hAnsi="Times New Roman" w:cs="Times New Roman" w:eastAsia="Times New Roman"/>
          <w:b w:val="0"/>
          <w:i w:val="0"/>
          <w:sz w:val="22"/>
          <w:u w:val="none"/>
          <w:lang/>
        </w:rPr>
        <w:t>Probleme dayalı analitik yaklaşımla, hastanın solunum rezervini, klasik ve modern risk skorlama sistemlerini şu şekilde inceleyebiliriz:</w:t>
      </w:r>
    </w:p>
    <w:p w14:paraId="5F63AEFA" w14:textId="77777777" w:rsidR="00C41D67" w:rsidRPr="00C41D67" w:rsidRDefault="00C41D67" w:rsidP="00C41D67">
      <w:pPr>
        <w:spacing w:after="0" w:line="360" w:lineRule="auto" w:before="0"/>
        <w:ind w:firstLine="0" w:left="0" w:right="0"/>
        <w:jc w:val="both"/>
        <w:rPr>
          <w:b/>
          <w:bCs/>
          <w:lang/>
        </w:rPr>
      </w:pPr>
      <w:r w:rsidRPr="00C41D67">
        <w:rPr>
          <w:rFonts w:ascii="Times New Roman" w:hAnsi="Times New Roman" w:cs="Times New Roman" w:eastAsia="Times New Roman"/>
          <w:b w:val="0"/>
          <w:bCs/>
          <w:i w:val="0"/>
          <w:sz w:val="22"/>
          <w:u w:val="none"/>
          <w:lang/>
        </w:rPr>
        <w:t>1. Vital Kapasitenin (VC) 2.5 L Olmasının Klinik Karşılığı</w:t>
      </w:r>
    </w:p>
    <w:p w14:paraId="0E3C923D"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i w:val="0"/>
          <w:sz w:val="22"/>
          <w:u w:val="none"/>
          <w:lang/>
        </w:rPr>
        <w:t>Preoperatif vital kapasite, diyafram ve interkostal kasların gücünü doğrudan yansıtan, MG hastalarında solunum rezervini gösteren en objektif parametrelerden biridir.</w:t>
      </w:r>
    </w:p>
    <w:p w14:paraId="44C2EF1F"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Genel Solunum Eşiği: Ekstübasyon sonrası yeterli spontan solunumun sürdürülebilmesi ve etkili bir öksürük refleksiyle sekresyonların temizlenebilmesi için vital kapasitenin genellikle 15-20 ml/kg (yaklaşık 1.5 - 2.0 L) üzerinde olması istenir.</w:t>
      </w:r>
    </w:p>
    <w:p w14:paraId="055C649D"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Vaka Özelinde Değerlendirme: 35 yaşındaki kadın hastamızda ölçülen 2.5 L'lik vital kapasite değeri, bazal solunum gereksinimlerini karşılamak ve postoperatif sekresyon temizliğini sağlamak adına klinik olarak yeterli bir solunum rezervini işaret eder. Hastada istirahat dispnesinin ve bulbar tutulumun olmaması da bu olumlu tabloyu destekler. Ancak, klasik literatür skorlamalarında bu değer tek başına tam bir güvence sağlamaz.</w:t>
      </w:r>
    </w:p>
    <w:p w14:paraId="448C812C" w14:textId="77777777" w:rsidR="00C41D67" w:rsidRPr="00C41D67" w:rsidRDefault="00C41D67" w:rsidP="00C41D67">
      <w:pPr>
        <w:spacing w:after="0" w:line="360" w:lineRule="auto" w:before="0"/>
        <w:ind w:firstLine="0" w:left="0" w:right="0"/>
        <w:jc w:val="both"/>
        <w:rPr>
          <w:b/>
          <w:bCs/>
          <w:lang/>
        </w:rPr>
      </w:pPr>
      <w:r w:rsidRPr="00C41D67">
        <w:rPr>
          <w:rFonts w:ascii="Times New Roman" w:hAnsi="Times New Roman" w:cs="Times New Roman" w:eastAsia="Times New Roman"/>
          <w:b w:val="0"/>
          <w:bCs/>
          <w:i w:val="0"/>
          <w:sz w:val="22"/>
          <w:u w:val="none"/>
          <w:lang/>
        </w:rPr>
        <w:t>2. Postoperatif Mekanik Ventilasyon (POMV) Risk Skorlaması</w:t>
      </w:r>
    </w:p>
    <w:p w14:paraId="5D446048"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i w:val="0"/>
          <w:sz w:val="22"/>
          <w:u w:val="none"/>
          <w:lang/>
        </w:rPr>
        <w:t>Literatürde, timektomi sonrası uzamış mekanik ventilasyon riskini belirlemek için en köklü ve yaygın kabul gören sistem Leventhal Kriterleri'dir. Günümüz pratiğinde ise bu kriterler modern cerrahi teknikler ve nörolojik parametrelerle birlikte yorumlanmaktadır.</w:t>
      </w:r>
    </w:p>
    <w:p w14:paraId="232E8831" w14:textId="77777777" w:rsidR="00C41D67" w:rsidRPr="00C41D67" w:rsidRDefault="00C41D67" w:rsidP="00C41D67">
      <w:pPr>
        <w:spacing w:after="0" w:line="360" w:lineRule="auto" w:before="0"/>
        <w:ind w:firstLine="0" w:left="0" w:right="0"/>
        <w:jc w:val="both"/>
        <w:rPr>
          <w:b/>
          <w:bCs/>
          <w:lang/>
        </w:rPr>
      </w:pPr>
      <w:r w:rsidRPr="00C41D67">
        <w:rPr>
          <w:rFonts w:ascii="Times New Roman" w:hAnsi="Times New Roman" w:cs="Times New Roman" w:eastAsia="Times New Roman"/>
          <w:b w:val="0"/>
          <w:bCs/>
          <w:i w:val="0"/>
          <w:sz w:val="22"/>
          <w:u w:val="none"/>
          <w:lang/>
        </w:rPr>
        <w:t>A. Klasik Leventhal Kriterleri</w:t>
      </w:r>
    </w:p>
    <w:p w14:paraId="4B2B9811"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i w:val="0"/>
          <w:sz w:val="22"/>
          <w:u w:val="none"/>
          <w:lang/>
        </w:rPr>
        <w:t>Leventhal ve arkadaşlarının tanımladığı sistemde, aşağıdaki 4 majör risk faktöründen herhangi birinin varlığı, postoperatif solunum desteği ihtiyacını belirgin şekilde artırır:</w:t>
      </w:r>
    </w:p>
    <w:p w14:paraId="62759CF7"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Hastalık Süresinin &gt; 6 Yıl Olması: Kronik süreçte nöromüsküler kavşaktaki yapısal değişikliklerin ve kalıcı iletim defektinin daha fazla olduğunu gösterir.</w:t>
      </w:r>
    </w:p>
    <w:p w14:paraId="551392EF"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Günlük Piridostigmin Dozunun &gt; 750 mg Olması: Hastalığın agresif seyrettiğinin ve postoperatif dönemde yüksek sekresyon yükü (kolinerjik etki) riskinin habercisidir.</w:t>
      </w:r>
    </w:p>
    <w:p w14:paraId="6AF8C78B"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Preoperatif Vital Kapasitenin &lt; 2.9 L Olması: Hastamızın 2.5 L olan değeri, klasik Leventhal sınırına göre teknik olarak bir risk faktörü sayılır. Ancak bu sınır, açık sternotomi yapılan dönemlerin verilerine dayanmaktadır.</w:t>
      </w:r>
    </w:p>
    <w:p w14:paraId="650C0ED6"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Eşlik Eden Kronik Solunum Yolu Hastalığı: KOAH veya astım gibi ek patolojilerin varlığı akciğer kompliyansını ek olarak bozar.</w:t>
      </w:r>
    </w:p>
    <w:p w14:paraId="1AA224CD" w14:textId="77777777" w:rsidR="00C41D67" w:rsidRPr="00C41D67" w:rsidRDefault="00C41D67" w:rsidP="00C41D67">
      <w:pPr>
        <w:spacing w:after="0" w:line="360" w:lineRule="auto" w:before="0"/>
        <w:ind w:firstLine="0" w:left="0" w:right="0"/>
        <w:jc w:val="both"/>
        <w:rPr>
          <w:b/>
          <w:bCs/>
          <w:lang/>
        </w:rPr>
      </w:pPr>
      <w:r w:rsidRPr="00C41D67">
        <w:rPr>
          <w:rFonts w:ascii="Times New Roman" w:hAnsi="Times New Roman" w:cs="Times New Roman" w:eastAsia="Times New Roman"/>
          <w:b w:val="0"/>
          <w:bCs/>
          <w:i w:val="0"/>
          <w:sz w:val="22"/>
          <w:u w:val="none"/>
          <w:lang/>
        </w:rPr>
        <w:t>B. Modern ve Ek Majör Prediktif Faktörler</w:t>
      </w:r>
    </w:p>
    <w:p w14:paraId="596A8604"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i w:val="0"/>
          <w:sz w:val="22"/>
          <w:u w:val="none"/>
          <w:lang/>
        </w:rPr>
        <w:t>Klasik kriterlerin üzerine eklenen ve günümüz anestezi yönetimini şekillendiren diğer faktörler şunlardır:</w:t>
      </w:r>
    </w:p>
    <w:p w14:paraId="66A43479"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Bulbar Tutulum Şiddeti: Disfaji (yutma güçlüğü) veya dizartrisi olan hastalar, postoperatif dönemde üst hava yolu reflekslerini koruyamadıkları için mikroaspirasyon ve ekstübasyon başarısızlığı açısından en yüksek riskli grubu oluşturur.</w:t>
      </w:r>
    </w:p>
    <w:p w14:paraId="447DEAD0"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Geçirilmiş Myastenik Kriz Öyküsü: Hastanın özgeçmişinde entübasyon gerektiren bir kriz bulunması, solunum kaslarının hızlı yorulmaya eğilimli olduğunu net bir şekilde gösterir.</w:t>
      </w:r>
    </w:p>
    <w:p w14:paraId="2DA5F3C6" w14:textId="77777777" w:rsidR="00C41D67" w:rsidRPr="00C41D67" w:rsidRDefault="00C41D67" w:rsidP="002B677C">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Cerrahi Yaklaşım Tipi (Açık vs. Robotik): Transsternal (açık) timektomiler ciddi postoperatif ağrı ve göğüs duvarı instabilitesi nedeniyle solunum fonksiyonlarını %40-50 oranında düşürürken; hastamıza uygulanacak Robotik Timektomi (RATS), doku travmasını ve ağrıyı minimize ederek preoperatif vital kapasitenin postoperatif dönemde de korunmasını sağlar.</w:t>
      </w:r>
    </w:p>
    <w:p w14:paraId="5285ADF9" w14:textId="77777777" w:rsidR="00C41D67" w:rsidRPr="00C41D67" w:rsidRDefault="00C41D67" w:rsidP="00C41D67">
      <w:pPr>
        <w:spacing w:after="0" w:line="360" w:lineRule="auto" w:before="0"/>
        <w:ind w:firstLine="0" w:left="0" w:right="0"/>
        <w:jc w:val="both"/>
        <w:rPr>
          <w:lang/>
        </w:rPr>
      </w:pPr>
      <w:r w:rsidRPr="00C41D67">
        <w:rPr>
          <w:rFonts w:ascii="Times New Roman" w:hAnsi="Times New Roman" w:cs="Times New Roman" w:eastAsia="Times New Roman"/>
          <w:b w:val="0"/>
          <w:bCs/>
          <w:i w:val="0"/>
          <w:sz w:val="22"/>
          <w:u w:val="none"/>
          <w:lang/>
        </w:rPr>
        <w:t>Klinik Sentez: Hastamız, genç yaşı, düşük doz ilaç gereksinimi ve bulbar semptomunun olmaması sayesinde düşük risk profilindedir. Klasik Leventhal kriterine göre vital kapasitesi 2.9 L'nin altında (2.5 L) kalsa da, cerrahinin robotik (minimal invaziv) planlanması sayesinde postoperatif mekanik ventilasyon ihtiyacı duyulmadan ameliyat masasında veya erken dönemde (fast-track) güvenle ekstübe edilebileceğini öngörebiliriz.</w:t>
      </w:r>
    </w:p>
    <w:p w14:paraId="7DFEC37C" w14:textId="77777777" w:rsidR="00C41D67" w:rsidRPr="00C41D67" w:rsidRDefault="00C41D67" w:rsidP="00C41D67">
      <w:pPr>
        <w:spacing w:after="0" w:line="360" w:lineRule="auto" w:before="0"/>
        <w:ind w:left="0" w:firstLine="0" w:right="0"/>
        <w:jc w:val="both"/>
        <w:rPr>
          <w:lang/>
        </w:rPr>
      </w:pPr>
      <w:r w:rsidRPr="00C41D67">
        <w:rPr>
          <w:rFonts w:ascii="Times New Roman" w:hAnsi="Times New Roman" w:cs="Times New Roman" w:eastAsia="Times New Roman"/>
          <w:b w:val="0"/>
          <w:bCs/>
          <w:i w:val="0"/>
          <w:sz w:val="22"/>
          <w:u w:val="none"/>
          <w:lang/>
        </w:rPr>
        <w:t>Leventhal, S. R., Orkin, F. K., &amp; Hirsh, R. A. (1980). Prediction of the need for postoperative mechanical ventilation in myasthenia gravis. Anesthesiology, 53(1), 26-30. (Bu çalışma, yukarıda detaylandırılan 4 maddelik klasik risk skorlama sisteminin literatüre kazandırıldığı temel kılavuz eserdir.)</w:t>
      </w:r>
    </w:p>
    <w:p w14:paraId="319E601D" w14:textId="77777777" w:rsidR="00C41D67" w:rsidRPr="00C41D67" w:rsidRDefault="00C41D67" w:rsidP="00C41D67">
      <w:pPr>
        <w:spacing w:after="0" w:line="360" w:lineRule="auto" w:before="0"/>
        <w:ind w:left="0" w:firstLine="0" w:right="0"/>
        <w:jc w:val="both"/>
        <w:rPr>
          <w:lang/>
        </w:rPr>
      </w:pPr>
      <w:r w:rsidRPr="00C41D67">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 (MG hastalarında preoperatif solunum fonksiyon testlerinin (VC, FVC) ve bulbar tutulumun postoperatif ekstübasyon başarısı üzerindeki prediktif değerini inceleyen kapsamlı derlemedir.)</w:t>
      </w:r>
    </w:p>
    <w:p w14:paraId="23D9F9F3" w14:textId="77777777" w:rsidR="00C41D67" w:rsidRPr="00C41D67" w:rsidRDefault="00C41D67" w:rsidP="00C41D67">
      <w:pPr>
        <w:spacing w:after="0" w:line="360" w:lineRule="auto" w:before="0"/>
        <w:ind w:left="0" w:firstLine="0" w:right="0"/>
        <w:jc w:val="both"/>
        <w:rPr>
          <w:lang/>
        </w:rPr>
      </w:pPr>
      <w:r w:rsidRPr="00C41D67">
        <w:rPr>
          <w:rFonts w:ascii="Times New Roman" w:hAnsi="Times New Roman" w:cs="Times New Roman" w:eastAsia="Times New Roman"/>
          <w:b w:val="0"/>
          <w:bCs/>
          <w:i w:val="0"/>
          <w:sz w:val="22"/>
          <w:u w:val="none"/>
          <w:lang/>
        </w:rPr>
        <w:t>Miller's Anesthesia (9th Edition, 2020) - Chapter: Anesthesia for Patients with Neuromuscular Disease.(Nöromüsküler hastalıklarda solunum rezervi limitleri, fast-track ekstübasyon kriterleri ve minimal invaziv/robotik torasik cerrahilerin açık cerrahilere kıyasla postoperatif ventilasyon riskini nasıl azalttığına dair standart referans textbook bilgisidir.)</w:t>
      </w:r>
    </w:p>
    <w:p w14:paraId="2FC2B166" w14:textId="77777777" w:rsidR="00166036" w:rsidRPr="006F75B5" w:rsidRDefault="00166036" w:rsidP="00166036">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3 (Premedikasyon ve Sedasyon): Preoperatif anksiyete yönetimi için benzodiazepin veya opioid grubu ajanların rutin kullanımı MG hastalarında neden rölatif kontrendikedir? Premedikasyon uygulanması gerekiyorsa hangi farmakolojik veya non-farmakolojik stratejiler tercih edilmelidir?</w:t>
      </w:r>
    </w:p>
    <w:p w14:paraId="7DFF1227" w14:textId="77777777" w:rsidR="00402513" w:rsidRPr="00402513" w:rsidRDefault="00402513" w:rsidP="00402513">
      <w:pPr>
        <w:spacing w:after="0" w:line="360" w:lineRule="auto" w:before="0"/>
        <w:ind w:firstLine="0" w:left="0" w:right="0"/>
        <w:jc w:val="both"/>
        <w:rPr>
          <w:lang/>
        </w:rPr>
      </w:pPr>
      <w:r w:rsidRPr="00402513">
        <w:rPr>
          <w:rFonts w:ascii="Times New Roman" w:hAnsi="Times New Roman" w:cs="Times New Roman" w:eastAsia="Times New Roman"/>
          <w:b w:val="0"/>
          <w:i w:val="0"/>
          <w:sz w:val="22"/>
          <w:u w:val="none"/>
          <w:lang/>
        </w:rPr>
        <w:t>Myastenia Gravis (MG) tanılı hastaların perioperatif yönetiminde, preoperatif anksiyetenin kontrol altına alınması kritiktir; çünkü şiddetli anksiyete ve buna bağlı gelişen nöroendokrin stres yanıtı, kendi başına bir myastenik kriz tetikleyicisi olabilir. Ancak, bu anksiyete yönetiminde konvansiyonel sedatiflerin rutin kullanımı, hastanın patofizyolojik özellikleri nedeniyle oldukça hassas bir denge gerektirir.</w:t>
      </w:r>
    </w:p>
    <w:p w14:paraId="3D68581B" w14:textId="51C8AC62" w:rsidR="00402513" w:rsidRPr="00402513" w:rsidRDefault="00402513" w:rsidP="00402513">
      <w:pPr>
        <w:spacing w:after="0" w:line="360" w:lineRule="auto" w:before="0"/>
        <w:ind w:firstLine="0" w:left="0" w:right="0"/>
        <w:jc w:val="both"/>
        <w:rPr>
          <w:lang/>
        </w:rPr>
      </w:pPr>
      <w:r>
        <w:rPr>
          <w:rFonts w:ascii="Times New Roman" w:hAnsi="Times New Roman" w:cs="Times New Roman" w:eastAsia="Times New Roman"/>
          <w:b w:val="0"/>
          <w:i w:val="0"/>
          <w:sz w:val="22"/>
          <w:u w:val="none"/>
          <w:lang/>
        </w:rPr>
        <w:t>Klinik veriler ve patofizyolojik zemin ışığında, premedikasyon stratejilerini şu şekilde analiz edebiliriz:</w:t>
      </w:r>
    </w:p>
    <w:p w14:paraId="6708D9E6" w14:textId="44599C2F" w:rsidR="00402513" w:rsidRPr="00402513" w:rsidRDefault="00402513" w:rsidP="00402513">
      <w:pPr>
        <w:spacing w:after="0" w:line="360" w:lineRule="auto" w:before="0"/>
        <w:ind w:firstLine="0" w:left="0" w:right="0"/>
        <w:jc w:val="both"/>
        <w:rPr>
          <w:b/>
          <w:bCs/>
          <w:lang/>
        </w:rPr>
      </w:pPr>
      <w:r w:rsidRPr="00402513">
        <w:rPr>
          <w:rFonts w:ascii="Times New Roman" w:hAnsi="Times New Roman" w:cs="Times New Roman" w:eastAsia="Times New Roman"/>
          <w:b w:val="0"/>
          <w:bCs/>
          <w:i w:val="0"/>
          <w:sz w:val="22"/>
          <w:u w:val="none"/>
          <w:lang/>
        </w:rPr>
        <w:t>1. Benzodiazepin ve Opioid Grubu Ajanların Rutin Kullanım Riskleri</w:t>
      </w:r>
    </w:p>
    <w:p w14:paraId="599C4171" w14:textId="77777777" w:rsidR="00402513" w:rsidRPr="00402513" w:rsidRDefault="00402513" w:rsidP="00402513">
      <w:pPr>
        <w:spacing w:after="0" w:line="360" w:lineRule="auto" w:before="0"/>
        <w:ind w:firstLine="0" w:left="0" w:right="0"/>
        <w:jc w:val="both"/>
        <w:rPr>
          <w:lang/>
        </w:rPr>
      </w:pPr>
      <w:r w:rsidRPr="00402513">
        <w:rPr>
          <w:rFonts w:ascii="Times New Roman" w:hAnsi="Times New Roman" w:cs="Times New Roman" w:eastAsia="Times New Roman"/>
          <w:b w:val="0"/>
          <w:i w:val="0"/>
          <w:sz w:val="22"/>
          <w:u w:val="none"/>
          <w:lang/>
        </w:rPr>
        <w:t>Nöromüsküler kavşaktaki postsinaptik asetilkolin reseptörlerine karşı gelişen otoimmün antikorlar nedeniyle bu hastaların solunum ve bulbar kaslarında bazal bir zayıflık mevcuttur. Benzodiazepinler ve opioidler bu zemin üzerinde şu tehlikeli tablolara yol açabilir:</w:t>
      </w:r>
    </w:p>
    <w:p w14:paraId="5A8773AD"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Santral Respiratuar Depresyon ve Sınırlı Rezerv: Benzodiazepinler santral GABA reseptörleri üzerinden, opioidler ise mu-reseptörleri üzerinden solunum merkezini deprese eder. Vital kapasitesi 2,5 L olan ve solunum rezervi zaten sınırda seyreden bu hastada, hiperkapnik ve hipoksik solunumsal sürücünün körelmesi hızla hipoventilasyona yol açar.</w:t>
      </w:r>
    </w:p>
    <w:p w14:paraId="196D95B5"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Üst Hava Yolu Kollapsı ve Bulbar Zayıflığın Şiddetlenmesi: Benzodiazepinlerin intrensek kas gevşetici özellikleri, farengeal ve larengeal kas tonusunu azaltır. Bu durum, preoperatif dönemde belirgin bulbar semptomu olmayan (yutma güçlüğü veya istirahat dispnesi saptanmayan) bu hastada bile üst hava yolu obstrüksiyonunu tetikleyebilir.</w:t>
      </w:r>
    </w:p>
    <w:p w14:paraId="1C14FCC6"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Aspirasyon Riski: Sedasyon altındaki hastada koruyucu hava yolu reflekslerinin ve yutkunmanın zayıflaması, sekresyon yönetimini bozarak gastrik içerik aspirasyonu riskini dramatik şekilde artırır.</w:t>
      </w:r>
    </w:p>
    <w:p w14:paraId="6C31FE5C"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Myastenik Kriz Paradoksu: Anksiyeteyi önlemek amacıyla kontrolsüzce uygulanan bu ajanlar, solunum kaslarını tamamen yorarak hastanın ameliyathaneye henüz girmeden mekanik ventilasyon ihtiyacı duymasına (akut myastenik kriz) neden olabilir.</w:t>
      </w:r>
    </w:p>
    <w:p w14:paraId="54F805BC" w14:textId="77777777" w:rsidR="00402513" w:rsidRPr="00402513" w:rsidRDefault="00402513" w:rsidP="00402513">
      <w:pPr>
        <w:spacing w:after="0" w:line="360" w:lineRule="auto" w:before="0"/>
        <w:ind w:firstLine="0" w:left="0" w:right="0"/>
        <w:jc w:val="both"/>
        <w:rPr>
          <w:b/>
          <w:bCs/>
          <w:lang/>
        </w:rPr>
      </w:pPr>
      <w:r w:rsidRPr="00402513">
        <w:rPr>
          <w:rFonts w:ascii="Times New Roman" w:hAnsi="Times New Roman" w:cs="Times New Roman" w:eastAsia="Times New Roman"/>
          <w:b w:val="0"/>
          <w:bCs/>
          <w:i w:val="0"/>
          <w:sz w:val="22"/>
          <w:u w:val="none"/>
          <w:lang/>
        </w:rPr>
        <w:t>2. Tercih Edilmesi Gereken Premedikasyon Stratejileri</w:t>
      </w:r>
    </w:p>
    <w:p w14:paraId="4A00CFF1" w14:textId="77777777" w:rsidR="00402513" w:rsidRPr="00402513" w:rsidRDefault="00402513" w:rsidP="00402513">
      <w:pPr>
        <w:spacing w:after="0" w:line="360" w:lineRule="auto" w:before="0"/>
        <w:ind w:firstLine="0" w:left="0" w:right="0"/>
        <w:jc w:val="both"/>
        <w:rPr>
          <w:lang/>
        </w:rPr>
      </w:pPr>
      <w:r w:rsidRPr="00402513">
        <w:rPr>
          <w:rFonts w:ascii="Times New Roman" w:hAnsi="Times New Roman" w:cs="Times New Roman" w:eastAsia="Times New Roman"/>
          <w:b w:val="0"/>
          <w:i w:val="0"/>
          <w:sz w:val="22"/>
          <w:u w:val="none"/>
          <w:lang/>
        </w:rPr>
        <w:t>Eğer hastanın anksiyetesi yüksekse ve müdahale edilmesi gerekiyorsa, solunum fonksiyonlarını riske atmayacak alternatif yöntemler seçilmelidir.</w:t>
      </w:r>
    </w:p>
    <w:p w14:paraId="1C3637CE" w14:textId="77777777" w:rsidR="00402513" w:rsidRPr="00402513" w:rsidRDefault="00402513" w:rsidP="00402513">
      <w:pPr>
        <w:spacing w:after="0" w:line="360" w:lineRule="auto" w:before="0"/>
        <w:ind w:firstLine="0" w:left="0" w:right="0"/>
        <w:jc w:val="both"/>
        <w:rPr>
          <w:b/>
          <w:bCs/>
          <w:lang/>
        </w:rPr>
      </w:pPr>
      <w:r w:rsidRPr="00402513">
        <w:rPr>
          <w:rFonts w:ascii="Times New Roman" w:hAnsi="Times New Roman" w:cs="Times New Roman" w:eastAsia="Times New Roman"/>
          <w:b w:val="0"/>
          <w:bCs/>
          <w:i w:val="0"/>
          <w:sz w:val="22"/>
          <w:u w:val="none"/>
          <w:lang/>
        </w:rPr>
        <w:t>A. Farmakolojik Olmayan (Non-Farmakolojik) Stratejiler</w:t>
      </w:r>
    </w:p>
    <w:p w14:paraId="670798D9"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Kapsamlı Preoperatif Bilgilendirme ve Güven Telkini: Anestezi ekibinin ameliyat öncesi hastayı detaylıca ziyaret etmesi, robotik timektomi sürecini, ağrı yönetimini ve ameliyat sonrası süreçleri (fast-track planını) net bir şekilde anlatması anksiyeteyi azaltmada en etkili ve güvenli yöntemdir.</w:t>
      </w:r>
    </w:p>
    <w:p w14:paraId="297FB3D2"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Bilişsel Davranışçı Destek: Ameliyathane ortamının yabancılığını gidermek adına transfer sürecinde sakin ve sessiz bir ortamın sağlanması.</w:t>
      </w:r>
    </w:p>
    <w:p w14:paraId="232243DA" w14:textId="77777777" w:rsidR="00402513" w:rsidRPr="00402513" w:rsidRDefault="00402513" w:rsidP="00402513">
      <w:pPr>
        <w:spacing w:after="0" w:line="360" w:lineRule="auto" w:before="0"/>
        <w:ind w:firstLine="0" w:left="0" w:right="0"/>
        <w:jc w:val="both"/>
        <w:rPr>
          <w:b/>
          <w:bCs/>
          <w:lang/>
        </w:rPr>
      </w:pPr>
      <w:r w:rsidRPr="00402513">
        <w:rPr>
          <w:rFonts w:ascii="Times New Roman" w:hAnsi="Times New Roman" w:cs="Times New Roman" w:eastAsia="Times New Roman"/>
          <w:b w:val="0"/>
          <w:bCs/>
          <w:i w:val="0"/>
          <w:sz w:val="22"/>
          <w:u w:val="none"/>
          <w:lang/>
        </w:rPr>
        <w:t>B. Farmakolojik Stratejiler</w:t>
      </w:r>
    </w:p>
    <w:p w14:paraId="7491BD63" w14:textId="77777777" w:rsidR="00402513" w:rsidRPr="00402513" w:rsidRDefault="00402513" w:rsidP="00402513">
      <w:pPr>
        <w:spacing w:after="0" w:line="360" w:lineRule="auto" w:before="0"/>
        <w:ind w:firstLine="0" w:left="0" w:right="0"/>
        <w:jc w:val="both"/>
        <w:rPr>
          <w:lang/>
        </w:rPr>
      </w:pPr>
      <w:r w:rsidRPr="00402513">
        <w:rPr>
          <w:rFonts w:ascii="Times New Roman" w:hAnsi="Times New Roman" w:cs="Times New Roman" w:eastAsia="Times New Roman"/>
          <w:b w:val="0"/>
          <w:i w:val="0"/>
          <w:sz w:val="22"/>
          <w:u w:val="none"/>
          <w:lang/>
        </w:rPr>
        <w:t>Eğer ilaç desteği kaçınılmaz ise şu modern yaklaşımlar tercih edilir:</w:t>
      </w:r>
    </w:p>
    <w:p w14:paraId="161B6BD7"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Alfa-2 Adrenerjik Reseptör Agonistleri (Deksmedetomidin): Güncel literatürde MG hastaları için en ideal premedikasyon ajanı olarak öne çıkmaktadır. Sentral anksiyoliz ve sedasyon sağlarken solunum merkezini deprese etmez ve nöromüsküler kavşak üzerinde olumsuz bir etkisi yoktur.</w:t>
      </w:r>
    </w:p>
    <w:p w14:paraId="3504C7BC" w14:textId="77777777" w:rsidR="00402513" w:rsidRPr="00402513" w:rsidRDefault="00402513" w:rsidP="002B677C">
      <w:pPr>
        <w:spacing w:after="0" w:line="360" w:lineRule="auto" w:before="0"/>
        <w:ind w:firstLine="0" w:left="0" w:right="0"/>
        <w:jc w:val="both"/>
        <w:rPr>
          <w:lang/>
        </w:rPr>
      </w:pPr>
      <w:r w:rsidRPr="00402513">
        <w:rPr>
          <w:rFonts w:ascii="Times New Roman" w:hAnsi="Times New Roman" w:cs="Times New Roman" w:eastAsia="Times New Roman"/>
          <w:b w:val="0"/>
          <w:bCs/>
          <w:i w:val="0"/>
          <w:sz w:val="22"/>
          <w:u w:val="none"/>
          <w:lang/>
        </w:rPr>
        <w:t>Yakın Takip Altında Çok Düşük Doz Kısa Etkili Benzodiazepin: Eğer midazolam kullanılacaksa, kesinlikle servis yatağında rutin olarak değil; sadece ameliyathaneye alındıktan sonra, standart monitörizasyon altında ve pulse oximetry eşliğinde, 0.5 - 1 mg gibi minimal dozlarda titre edilerek uygulanmalıdır. Hastaya mutlaka nazal kanül ile oksijen desteği sağlanmalıdır.</w:t>
      </w:r>
    </w:p>
    <w:p w14:paraId="61057FCD" w14:textId="2B04C01A" w:rsidR="00402513" w:rsidRDefault="00402513" w:rsidP="00402513">
      <w:pPr>
        <w:spacing w:after="0" w:line="360" w:lineRule="auto" w:before="0"/>
        <w:ind w:firstLine="0" w:left="0" w:right="0"/>
        <w:jc w:val="both"/>
        <w:rPr>
          <w:lang/>
        </w:rPr>
      </w:pPr>
      <w:r w:rsidRPr="00402513">
        <w:rPr>
          <w:rFonts w:ascii="Times New Roman" w:hAnsi="Times New Roman" w:cs="Times New Roman" w:eastAsia="Times New Roman"/>
          <w:b w:val="0"/>
          <w:i w:val="0"/>
          <w:sz w:val="22"/>
          <w:u w:val="none"/>
          <w:lang/>
        </w:rPr>
        <w:t>35 yaşındaki hastamızın preoperatif dönemde istirahat dispnesinin olmaması büyük bir avantajdır. Ancak vital kapasitesinin 2,5 L olması, preoperatif dönemde yapılacak uygunsuz bir sedasyonun hastayı hızla solunum yetmezliğine sokabileceğini gösterir. Bu nedenle servis döneminde rutin benzodiazepin veya opioid premedikasyonundan kaçınılmalı, anksiyete yönetimi psikolojik destekle veya ameliyathane masasında çok yakın monitörizasyon eşliğinde mikrodosajlarla yönetilmelidir.</w:t>
      </w:r>
    </w:p>
    <w:p w14:paraId="6FFFAD51" w14:textId="77777777" w:rsidR="00402513" w:rsidRPr="00402513" w:rsidRDefault="00402513" w:rsidP="00402513">
      <w:pPr>
        <w:spacing w:after="0" w:line="360" w:lineRule="auto" w:before="0"/>
        <w:ind w:left="0" w:firstLine="0" w:right="0"/>
        <w:jc w:val="both"/>
        <w:rPr>
          <w:lang/>
        </w:rPr>
      </w:pPr>
      <w:r w:rsidRPr="00402513">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 (MG hastalarında preoperatif sedatif ve opioid kullanımının solunum sürücüsü ve kas gücü üzerindeki olumsuz etkilerini ve alternatif premedikasyon yaklaşımlarını inceleyen temel referans derlemedir.)</w:t>
      </w:r>
    </w:p>
    <w:p w14:paraId="3EA8FE80" w14:textId="77777777" w:rsidR="00402513" w:rsidRPr="00402513" w:rsidRDefault="00402513" w:rsidP="00402513">
      <w:pPr>
        <w:spacing w:after="0" w:line="360" w:lineRule="auto" w:before="0"/>
        <w:ind w:left="0" w:firstLine="0" w:right="0"/>
        <w:jc w:val="both"/>
        <w:rPr>
          <w:lang/>
        </w:rPr>
      </w:pPr>
      <w:r w:rsidRPr="00402513">
        <w:rPr>
          <w:rFonts w:ascii="Times New Roman" w:hAnsi="Times New Roman" w:cs="Times New Roman" w:eastAsia="Times New Roman"/>
          <w:b w:val="0"/>
          <w:bCs/>
          <w:i w:val="0"/>
          <w:sz w:val="22"/>
          <w:u w:val="none"/>
          <w:lang/>
        </w:rPr>
        <w:t>Della Marina, A., et al. (2019). Perioperative management of patients with myasthenia gravis. Neuromuscular Disorders, 29(4), 211-220. (Preoperatif hazırlık aşamasında anksiyete yönetiminin önemini, stres hormonlarının kriz tetikleme potansiyelini ve deksmedetomidin gibi respiratuar koruyucu ajanların güvenli kullanım marjlarını detaylandıran güncel klinik kılavuzdur.)</w:t>
      </w:r>
    </w:p>
    <w:p w14:paraId="6D5FBED4" w14:textId="0D28B8A4" w:rsidR="001C739A" w:rsidRDefault="00402513" w:rsidP="001C739A">
      <w:pPr>
        <w:spacing w:after="0" w:line="360" w:lineRule="auto" w:before="0"/>
        <w:ind w:left="0" w:firstLine="0" w:right="0"/>
        <w:jc w:val="both"/>
        <w:rPr>
          <w:lang/>
        </w:rPr>
      </w:pPr>
      <w:r w:rsidRPr="00402513">
        <w:rPr>
          <w:rFonts w:ascii="Times New Roman" w:hAnsi="Times New Roman" w:cs="Times New Roman" w:eastAsia="Times New Roman"/>
          <w:b w:val="0"/>
          <w:bCs/>
          <w:i w:val="0"/>
          <w:sz w:val="22"/>
          <w:u w:val="none"/>
          <w:lang/>
        </w:rPr>
        <w:t>Barash, P. G., et al. (8th Edition, 2017) - Clinical Anesthesia, Chapter: Neuromuscular Diseases.(Nöromüsküler hastalıklarda santral etkili ilaçların pharyngeal kollaps ve ventilatuvar depresyon risklerini, özellikle timektomi gibi torasik cerrahiler öncesi premedikasyon kısıtlamalarını içeren textbook bilgisidir.)</w:t>
      </w:r>
    </w:p>
    <w:p w14:paraId="5CE45C39" w14:textId="77777777" w:rsidR="001C739A" w:rsidRPr="006F75B5" w:rsidRDefault="001C739A" w:rsidP="001C739A">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4 (Eşlik Eden Patolojiler ve Hazırlık): Hastada timoma şüphesi ve otoimmün zemin (örn. tiroid disfonksiyonu) bulunması anestezi hazırlığını nasıl etkiler? Preoperatif dönemde hastanın bulbar semptomlarının şiddetlenmesi durumunda plazmaferez veya İntravenöz İmmünoglobulin (IVIG) tedavisinin endikasyonları ve zamanlaması nasıl olmalıdır?</w:t>
      </w:r>
    </w:p>
    <w:p w14:paraId="00D309C3" w14:textId="493FF531"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Myastenia Gravis (MG), yalnızca izole bir nöromüsküler kavşak hastalığı olmayıp, sıklıkla timik patolojiler ve diğer organ-spesifik otoimmün süreçlerle birlikte seyreden sistemik bir tablodur. Probleme dayalı öğrenme modelimiz doğrultusunda, eşlik eden patolojilerin anestezi stratejisine etkilerini ve akut alevlenmelerde uygulanan immünomodülatör tedavilerin zamanlamasını şu şekilde analiz edebiliriz:</w:t>
      </w:r>
    </w:p>
    <w:p w14:paraId="3B2A31EA"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1. Eşlik Eden Patolojiler ve Anestezi Hazırlığına Etkileri</w:t>
      </w:r>
    </w:p>
    <w:p w14:paraId="5CC9C110"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A. Timoma Şüphesi ve Ön Mediastinal Kitle Yönetimi</w:t>
      </w:r>
    </w:p>
    <w:p w14:paraId="43006D10" w14:textId="77777777"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MG hastalarının yaklaşık %10-15'inde timoma saptanırken, timoması olan hastaların %30-50'sinde MG kliniği mevcuttur.</w:t>
      </w:r>
    </w:p>
    <w:p w14:paraId="0264C806"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Mekanik Kompresyon Riski: Robotik cerrahi planlanan kitleler genellikle devasa boyutlarda olmasa da, preoperatif bilgisayarlı tomografide (BT) kitlenin trakea, ana bronşlar ve süperior vena cava (SVC) üzerindeki olası basısı mutlaka değerlendirilmelidir. İndüksiyon sırasında nöromüsküler blokerlerin uygulanması ve pozitif basınçlı ventilasyona geçilmesiyle göğüs duvarı tonusunun kaybolması, kitle basısını artırarak akut hava yolu obstrüksiyonuna veya ciddi venöz dönüş bozukluğuna (SVC sendromu) yol açabilir.</w:t>
      </w:r>
    </w:p>
    <w:p w14:paraId="6F5A2D0C"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Klinik Seyir: Literatür, timoma eşlik eden MG olgularının, timoma olmayan (non-timomatöz) olgulara kıyasla daha agresif seyrettiğini, nöromüsküler blokerlere daha düzensiz yanıt verdiğini ve postoperatif uzamış mekanik ventilasyon (POMV) riskinin bu grupta belirgin şekilde daha yüksek olduğunu göstermektedir.</w:t>
      </w:r>
    </w:p>
    <w:p w14:paraId="717F1F44"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B. Otoimmün Zemin: Tiroid Disfonksiyonu</w:t>
      </w:r>
    </w:p>
    <w:p w14:paraId="34DF78DA" w14:textId="77777777"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MG hastalarının %5-10'unda başta Graves hastalığı ve Hashimoto tiroiditi olmak üzere tiroid disfonksiyonu eşlik eder.</w:t>
      </w:r>
    </w:p>
    <w:p w14:paraId="7C2C147D"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Hipertiroidi Yönetimi: Hipertiroidi, asetilkolin reseptörlerinin yıkımını hızlandırarak myastenik kas güçsüzlüğünü doğrudan derinleştirir (tirotoksik miyopati). Ayrıca intraoperatif dönemde kapnotoraksın ve cerrahi stresin de tetiklemesiyle malign taşiaritmiler ve tiroid fırtınası riskini doğurur.</w:t>
      </w:r>
    </w:p>
    <w:p w14:paraId="421B02AF"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Hipotiroidi Yönetimi: Hipotiroidi ise hastanın makroglossi (büyük dil) nedeniyle hava yolu yönetimini zorlaştırabilir, santral solunum sürücüsünü körelterek postoperatif solunum depresyonu riskini artırır ve anestezik ajanların metabolizmasını yavaşlatır.</w:t>
      </w:r>
    </w:p>
    <w:p w14:paraId="2142D668"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Klinik Hedef: Ameliyat öncesi dönemde tiroid fonksiyon testleri (TSH, Serbest T3, Serbest T4) mutlaka görülmeli ve hasta kesinlikle ötiroid (normal tiroid fonksiyon düzeyinde) hale getirilmeden elektif cerrahiye alınmamalıdır.</w:t>
      </w:r>
    </w:p>
    <w:p w14:paraId="1C281DAA"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2. Akut Bulber Alevlenmede İmmünomodülatör Tedaviler: Endikasyon ve Zamanlama</w:t>
      </w:r>
    </w:p>
    <w:p w14:paraId="4A06B9FB" w14:textId="77777777"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Preoperatif dönemde hastanın bulber semptomlarının (yutma güçlüğü, öksürük refleksinde zayıflık, sekresyonları temizleyememe) şiddetlenmesi veya vital kapasitesinin (VC) hızla düşmesi, yaklaşan bir myastenik krizin (impending myasthenic crisis) en güçlü habercisidir. Bu durumda cerrahi ertelenmeli ve hasta hızla Plazmaferez (PLEX) veya İntravenöz İmmünoglobulin (IVIG) ile optimize edilmelidir.</w:t>
      </w:r>
    </w:p>
    <w:p w14:paraId="7F19A700"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A. Terapötik Plazmaferez (PLEX)</w:t>
      </w:r>
    </w:p>
    <w:p w14:paraId="16289C85" w14:textId="77777777"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Dolaşımdaki patojenik anti-AChR antikorlarını hızlıca uzaklaştırarak nöromüsküler iletimi saniyeler-dakikalar içinde iyileştirir.</w:t>
      </w:r>
    </w:p>
    <w:p w14:paraId="2F0954FD"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Endikasyon: Akut ağır bulber tutulum, solunum yetmezliği tehdidi veya preoperatif dönemde solunum rezervi çok düşük olan hastaların hızlı stabilizasyonu.</w:t>
      </w:r>
    </w:p>
    <w:p w14:paraId="140E2A01"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Protokol ve Zamanlama: Genellikle gün aşırı uygulanan 3 ila 5 seanslık bir kür planlanır. Tedavinin cerrahiden 48-72 saat önce tamamlanmış olması istenir. Bu sürenin bırakılmasının iki kritik nedeni vardır:</w:t>
      </w:r>
    </w:p>
    <w:p w14:paraId="7E6E35C3"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i w:val="0"/>
          <w:sz w:val="22"/>
          <w:u w:val="none"/>
          <w:lang/>
        </w:rPr>
        <w:t>Plazma değişimi sırasında pıhtılaşma faktörleri de uzaklaştırılacağından, koagülasyon profilinin (PT, aPTT, fibrinojen) cerrahi kanama riskini önlemek adına normale dönmesine izin verilmelidir.</w:t>
      </w:r>
    </w:p>
    <w:p w14:paraId="65116C07"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i w:val="0"/>
          <w:sz w:val="22"/>
          <w:u w:val="none"/>
          <w:lang/>
        </w:rPr>
        <w:t>PLEX, psödokolinesteraz (plazma kolinesteraz) enzimini de geçici olarak azaltabilir; bu durum intraoperatif dönemde süksinilkolin veya mivakuryum kullanılacaksa uzamış paralizi riski yaratır.</w:t>
      </w:r>
    </w:p>
    <w:p w14:paraId="686A41DA" w14:textId="77777777" w:rsidR="003A3BB8" w:rsidRPr="003A3BB8" w:rsidRDefault="003A3BB8" w:rsidP="003A3BB8">
      <w:pPr>
        <w:spacing w:after="0" w:line="360" w:lineRule="auto" w:before="0"/>
        <w:ind w:left="0" w:firstLine="0" w:right="0"/>
        <w:jc w:val="both"/>
        <w:rPr>
          <w:b/>
          <w:bCs/>
          <w:lang/>
        </w:rPr>
      </w:pPr>
      <w:r w:rsidRPr="003A3BB8">
        <w:rPr>
          <w:rFonts w:ascii="Times New Roman" w:hAnsi="Times New Roman" w:cs="Times New Roman" w:eastAsia="Times New Roman"/>
          <w:b w:val="0"/>
          <w:bCs/>
          <w:i w:val="0"/>
          <w:sz w:val="22"/>
          <w:u w:val="none"/>
          <w:lang/>
        </w:rPr>
        <w:t>B. İntravenöz İmmünoglobulin (IVIG)</w:t>
      </w:r>
    </w:p>
    <w:p w14:paraId="4F6D24F5" w14:textId="77777777"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Fc reseptörlerini bloke ederek ve antikor nötralizasyonu sağlayarak immün yanıtı modüle eder. PLEX ile klinik etkinliği benzerdir ancak uygulama kolaylığı ve hemodinamik stabiliteyi bozmaması avantajıdır.</w:t>
      </w:r>
    </w:p>
    <w:p w14:paraId="292F9FE6"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Endikasyon: Ciddi vasküler erişim problemi olan, PLEX sırasındaki sıvı replasmanlarını ve hemodinamik dalgalanmaları tolere edemeyecek kardiyak instabilitesi bulunan hastalar.</w:t>
      </w:r>
    </w:p>
    <w:p w14:paraId="23160CAE" w14:textId="77777777" w:rsidR="003A3BB8" w:rsidRPr="003A3BB8" w:rsidRDefault="003A3BB8" w:rsidP="002B677C">
      <w:pPr>
        <w:spacing w:after="0" w:line="360" w:lineRule="auto" w:before="0"/>
        <w:ind w:firstLine="0" w:left="0" w:right="0"/>
        <w:jc w:val="both"/>
        <w:rPr>
          <w:lang/>
        </w:rPr>
      </w:pPr>
      <w:r w:rsidRPr="003A3BB8">
        <w:rPr>
          <w:rFonts w:ascii="Times New Roman" w:hAnsi="Times New Roman" w:cs="Times New Roman" w:eastAsia="Times New Roman"/>
          <w:b w:val="0"/>
          <w:bCs/>
          <w:i w:val="0"/>
          <w:sz w:val="22"/>
          <w:u w:val="none"/>
          <w:lang/>
        </w:rPr>
        <w:t>Protokol ve Zamanlama: Toplam 2 g/kg doz, hastanın toleransına göre 2 ila 5 güne bölünerek infüze edilir. IVIG'in tepe etkisine ulaşması ve intravasküler volüm yükünün (hiperviskozite/volüm yüklenmesi riski) dengelenmesi için tedavinin cerrahiden en az 3 ila 7 gün önce tamamlanması idealdir.</w:t>
      </w:r>
    </w:p>
    <w:p w14:paraId="013F8671" w14:textId="4AAF9FEA" w:rsidR="003A3BB8" w:rsidRPr="003A3BB8" w:rsidRDefault="003A3BB8" w:rsidP="003A3BB8">
      <w:pPr>
        <w:spacing w:after="0" w:line="360" w:lineRule="auto" w:before="0"/>
        <w:ind w:left="0" w:firstLine="0" w:right="0"/>
        <w:jc w:val="both"/>
        <w:rPr>
          <w:lang/>
        </w:rPr>
      </w:pPr>
      <w:r w:rsidRPr="003A3BB8">
        <w:rPr>
          <w:rFonts w:ascii="Times New Roman" w:hAnsi="Times New Roman" w:cs="Times New Roman" w:eastAsia="Times New Roman"/>
          <w:b w:val="0"/>
          <w:i w:val="0"/>
          <w:sz w:val="22"/>
          <w:u w:val="none"/>
          <w:lang/>
        </w:rPr>
        <w:t>35 yaşındaki hastamızın preoperatif muayenesinde bulber tutulum veya belirgin dispne olmaması, tiroid paneli ötiroid ise ve mediastinal BT'de trakeal kompresyon izlenmediyse, cerrahi öncesi rutin profilaktik PLEX veya IVIG ihtiyacını ortadan kaldırır. Ancak ameliyat sabahına kadar geçen süreçte hastada aniden gelişebilecek bir yutma güçlüğü veya sekresyon artışı durumunda, cerrahi derhal durdurulmalı; hasta yoğun bakım şartlarında takibe alınarak 3-5 seanslık PLEX veya 5 günlük IVIG kürünü takiben klinik stabilizasyon sağlandıktan (yaklaşık 1-2 hafta sonra) sonra tekrar robotik timektomiye planlanmalıdır.</w:t>
      </w:r>
    </w:p>
    <w:p w14:paraId="33F8F127" w14:textId="3D9F2708" w:rsidR="003A3BB8" w:rsidRPr="003A3BB8" w:rsidRDefault="003A3BB8" w:rsidP="00382453">
      <w:pPr>
        <w:spacing w:after="0" w:line="360" w:lineRule="auto" w:before="0"/>
        <w:ind w:left="0" w:firstLine="0" w:right="0"/>
        <w:jc w:val="both"/>
        <w:rPr>
          <w:lang/>
        </w:rPr>
      </w:pPr>
      <w:r w:rsidRPr="003A3BB8">
        <w:rPr>
          <w:rFonts w:ascii="Times New Roman" w:hAnsi="Times New Roman" w:cs="Times New Roman" w:eastAsia="Times New Roman"/>
          <w:b w:val="0"/>
          <w:bCs/>
          <w:i w:val="0"/>
          <w:sz w:val="22"/>
          <w:u w:val="none"/>
          <w:lang/>
        </w:rPr>
        <w:t>Sanders, D. B., Wolfe, G. I., Benatar, M., et al. (2016). International consensus guidance for management of myasthenia gravis. Neurology, 87(4), 419-425. (MG yönetimindeki dünya genelindeki en güçlü konsensus rehberidir. Preoperatif dönemde PLEX ve IVIG endikasyonlarını, doz şemalarını ve kriz yönetimindeki zamanlama stratejilerini net olarak ortaya koyar.)</w:t>
      </w:r>
    </w:p>
    <w:p w14:paraId="704822AE" w14:textId="77777777" w:rsidR="003A3BB8" w:rsidRPr="003A3BB8" w:rsidRDefault="003A3BB8" w:rsidP="00382453">
      <w:pPr>
        <w:spacing w:after="0" w:line="360" w:lineRule="auto" w:before="0"/>
        <w:ind w:left="0" w:firstLine="0" w:right="0"/>
        <w:jc w:val="both"/>
        <w:rPr>
          <w:lang/>
        </w:rPr>
      </w:pPr>
      <w:r w:rsidRPr="003A3BB8">
        <w:rPr>
          <w:rFonts w:ascii="Times New Roman" w:hAnsi="Times New Roman" w:cs="Times New Roman" w:eastAsia="Times New Roman"/>
          <w:b w:val="0"/>
          <w:bCs/>
          <w:i w:val="0"/>
          <w:sz w:val="22"/>
          <w:u w:val="none"/>
          <w:lang/>
        </w:rPr>
        <w:t>Raza, A., Woo, M. Y., &amp; Shuaib, A. (2021). Perioperative management of myasthenia gravis patients undergoing thymectomy. Journal of Thoracic Disease, 13(4), 2411-2420. (Timoma varlığının, ön mediastinal kitle bası etkilerinin anestezi indüksiyonundaki risklerini ve eşlik eden otoimmün tiroid hastalıklarının perioperatif komplikasyon oranları üzerindeki prediktif değerini inceleyen torasik anestezi makalesidir.)</w:t>
      </w:r>
    </w:p>
    <w:p w14:paraId="1A677249" w14:textId="77777777" w:rsidR="003A3BB8" w:rsidRPr="003A3BB8" w:rsidRDefault="003A3BB8" w:rsidP="00382453">
      <w:pPr>
        <w:spacing w:after="0" w:line="360" w:lineRule="auto" w:before="0"/>
        <w:ind w:left="0" w:firstLine="0" w:right="0"/>
        <w:jc w:val="both"/>
        <w:rPr>
          <w:lang/>
        </w:rPr>
      </w:pPr>
      <w:r w:rsidRPr="003A3BB8">
        <w:rPr>
          <w:rFonts w:ascii="Times New Roman" w:hAnsi="Times New Roman" w:cs="Times New Roman" w:eastAsia="Times New Roman"/>
          <w:b w:val="0"/>
          <w:bCs/>
          <w:i w:val="0"/>
          <w:sz w:val="22"/>
          <w:u w:val="none"/>
          <w:lang/>
        </w:rPr>
        <w:t>Miller's Anesthesia (9th Edition, 2020) - Chapter 39: Anesthesia for Patients with Neuromuscular Disease.(Plazmaferez sonrası plazma kolinesteraz düzeylerindeki düşüşün kas gevşeticilerin farmakokinetiğine etkilerini ve mediastinal kitlelerde pozitif basınçlı ventilasyonun oluşturabileceği obstrüksiyon patofizyolojisini detaylandıran standart textbook referansıdır.)</w:t>
      </w:r>
    </w:p>
    <w:p w14:paraId="65D7E695" w14:textId="77777777" w:rsidR="00EA6655" w:rsidRDefault="00EA6655" w:rsidP="00EA6655">
      <w:pPr>
        <w:spacing w:after="120" w:line="360" w:lineRule="auto" w:before="0"/>
        <w:ind w:firstLine="0" w:left="0" w:right="0"/>
        <w:jc w:val="left"/>
        <w:rPr>
          <w:b/>
          <w:bCs/>
          <w:lang/>
        </w:rPr>
      </w:pPr>
      <w:r w:rsidRPr="006F75B5">
        <w:rPr>
          <w:rFonts w:ascii="Times New Roman" w:hAnsi="Times New Roman" w:cs="Times New Roman" w:eastAsia="Times New Roman"/>
          <w:b/>
          <w:bCs/>
          <w:i w:val="0"/>
          <w:sz w:val="28"/>
          <w:u w:val="none"/>
          <w:lang/>
        </w:rPr>
        <w:t>II. ANESTEZİ YÖNETİMİ VE İNTRAOPERATİF STRATEJİLER</w:t>
      </w:r>
    </w:p>
    <w:p w14:paraId="26B5DD50" w14:textId="77777777" w:rsidR="00EA6655" w:rsidRPr="006F75B5" w:rsidRDefault="00EA6655" w:rsidP="00073872">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5 (Nöromüsküler Bloker Farmakodinamiği): MG patofizyolojisi göz önüne alındığında, hastanın depolarizan (süksinilkolin) ve depolarizan olmayan nöromüsküler blokerlere (NMB) farmakodinamik yanıtı normal popülasyona göre nasıl bir farklılık gösterir?</w:t>
      </w:r>
    </w:p>
    <w:p w14:paraId="470D805D"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i w:val="0"/>
          <w:sz w:val="22"/>
          <w:u w:val="none"/>
          <w:lang/>
        </w:rPr>
        <w:t>Myastenia Gravis (MG) patofizyolojisinin kalbinde, postsinaptik nikotinik asetilkolin reseptörlerine (nAChR) karşı gelişen otoimmün antikorlar yer alır. Bu durum, fonksiyonel reseptör sayısında %80'e varan bir azalmaya ve kavşak katlanmalarının düzleşmesine yol açar.</w:t>
      </w:r>
    </w:p>
    <w:p w14:paraId="6C023DDC"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i w:val="0"/>
          <w:sz w:val="22"/>
          <w:u w:val="none"/>
          <w:lang/>
        </w:rPr>
        <w:t>Normal bir insanda nöromüsküler iletimin sürdürülebilmesi için gereken reseptör sayısının çok daha fazlası hazırda bekler (buna iletimin güvenlik marjı diyoruz). MG hastalarında ise bu güvenlik marjı tamamen ortadan kalkmıştır. İşte bu patofizyolojik zemin, depolarizan ve depolarizan olmayan nöromüsküler blokerlere (NMB) karşı taban tabana zıt iki farklı farmakodinamik yanıt doğurur:</w:t>
      </w:r>
    </w:p>
    <w:p w14:paraId="2D0C051A" w14:textId="77777777" w:rsidR="00E021C7" w:rsidRPr="00E021C7" w:rsidRDefault="00E021C7" w:rsidP="00E021C7">
      <w:pPr>
        <w:spacing w:after="0" w:line="360" w:lineRule="auto" w:before="0"/>
        <w:ind w:left="0" w:firstLine="0" w:right="0"/>
        <w:jc w:val="both"/>
        <w:rPr>
          <w:b/>
          <w:bCs/>
          <w:lang/>
        </w:rPr>
      </w:pPr>
      <w:r w:rsidRPr="00E021C7">
        <w:rPr>
          <w:rFonts w:ascii="Times New Roman" w:hAnsi="Times New Roman" w:cs="Times New Roman" w:eastAsia="Times New Roman"/>
          <w:b w:val="0"/>
          <w:bCs/>
          <w:i w:val="0"/>
          <w:sz w:val="22"/>
          <w:u w:val="none"/>
          <w:lang/>
        </w:rPr>
        <w:t>1. Depolarizan NMB (Süksinilkolin): Direnç ve Klinik Paradoks</w:t>
      </w:r>
    </w:p>
    <w:p w14:paraId="412C8ABD"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i w:val="0"/>
          <w:sz w:val="22"/>
          <w:u w:val="none"/>
          <w:lang/>
        </w:rPr>
        <w:t>Süksinilkolin, postsinaptik reseptörleri taklit ederek sürekli bir depolarizasyon yaratır. MG hastalarında bu ajana karşı belirgin bir direnç gözlenir.</w:t>
      </w:r>
    </w:p>
    <w:p w14:paraId="64D35BC2"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Direncin Mekanizması: Fonksiyonel reseptör sayısı azaldığı için, normal popülasyonda yaygın depolarizasyon (ve ardından paralizi) başlatan standart süksinilkolin dozu, MG hastasında kas liflerini uyaracak kritik eşiğe ulaşamaz. Bu nedenle ilacın efektif dozu (ED95​) normalin yaklaşık 2 ila 2,5 katına çıkar.</w:t>
      </w:r>
    </w:p>
    <w:p w14:paraId="1B741F49"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Doz Modifikasyonu: Eğer hastada süksinilkolin kullanılması kaçınılmaz ise (örneğin tam mide veya zor hava yolu gibi acil durumlarda), normalde uygulanan 1 mg/kg yerine 1,5−2,0 mg/kg gibi daha yüksek dozlar gerekir.</w:t>
      </w:r>
    </w:p>
    <w:p w14:paraId="50E0E605"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Klinik Tuzak (Antikolinesteraz Etkisi): Eğer hastamız ameliyat sabahı piridostigmin dozunu aldıysa, bu ilaç plazma kolinesteraz (bütirilkolinesteraz) enzimini de inhibe eder. Plazma kolinesterazı süksinilkolini yıkan enzim olduğu için, direnci kırmak adına verdiğimiz yüksek doz süksinilkolinin vücuttan temizlenmesi saatler sürebilir ve tablo hızla Faz II Bloğa (uzamış ve geri döndürülmesi zor non-depolarizan benzeri blokaj) dönüşebilir.</w:t>
      </w:r>
    </w:p>
    <w:p w14:paraId="5EE537FD" w14:textId="77777777" w:rsidR="00E021C7" w:rsidRPr="00E021C7" w:rsidRDefault="00E021C7" w:rsidP="00E021C7">
      <w:pPr>
        <w:spacing w:after="0" w:line="360" w:lineRule="auto" w:before="0"/>
        <w:ind w:left="0" w:firstLine="0" w:right="0"/>
        <w:jc w:val="both"/>
        <w:rPr>
          <w:b/>
          <w:bCs/>
          <w:lang/>
        </w:rPr>
      </w:pPr>
      <w:r w:rsidRPr="00E021C7">
        <w:rPr>
          <w:rFonts w:ascii="Times New Roman" w:hAnsi="Times New Roman" w:cs="Times New Roman" w:eastAsia="Times New Roman"/>
          <w:b w:val="0"/>
          <w:bCs/>
          <w:i w:val="0"/>
          <w:sz w:val="22"/>
          <w:u w:val="none"/>
          <w:lang/>
        </w:rPr>
        <w:t>2. Depolarizan Olmayan NMB (Roküronyum, Atrakuryum vb.): Aşırı Hassasiyet</w:t>
      </w:r>
    </w:p>
    <w:p w14:paraId="1AA1CD83"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i w:val="0"/>
          <w:sz w:val="22"/>
          <w:u w:val="none"/>
          <w:lang/>
        </w:rPr>
        <w:t>Non-depolarizan ajanlar, asetilkolin ile reseptöre bağlanmak için yarışan (kompetitif) antagonistlerdir. MG hastalarında bu ajanlara karşı ekstrem bir hassasiyet mevcuttur.</w:t>
      </w:r>
    </w:p>
    <w:p w14:paraId="4C55E3F2"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Hassasiyetin Mekanizması: Güvenlik marjı yok olduğu için, sinaptik aralığa giren non-depolarizan moleküller zaten sayıca az olan reseptörlerin küçük bir kısmını bile bloke etse, iletim tamamen kopar ve derin felç tablosu gelişir.</w:t>
      </w:r>
    </w:p>
    <w:p w14:paraId="16168E16"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Doz Modifikasyonu: İntubasyon ve cerrahi gevşeme için non-depolarizan ajan kullanılması planlanıyorsa, dozlar dramatik şekilde düşürülmelidir. Standart bir entübasyon için roküronyum dozu normalde 0,6 mg/kg iken, MG hastasında bu dozun 1/3 veya 1/4'ü (0,15−0,2 mg/kg) tam bir klinik blok sağlamak için yeterlidir.</w:t>
      </w:r>
    </w:p>
    <w:p w14:paraId="7A55AD4B" w14:textId="77777777" w:rsidR="00E021C7" w:rsidRPr="00E021C7" w:rsidRDefault="00E021C7" w:rsidP="002B677C">
      <w:pPr>
        <w:spacing w:after="0" w:line="360" w:lineRule="auto" w:before="0"/>
        <w:ind w:firstLine="0" w:left="0" w:right="0"/>
        <w:jc w:val="both"/>
        <w:rPr>
          <w:lang/>
        </w:rPr>
      </w:pPr>
      <w:r w:rsidRPr="00E021C7">
        <w:rPr>
          <w:rFonts w:ascii="Times New Roman" w:hAnsi="Times New Roman" w:cs="Times New Roman" w:eastAsia="Times New Roman"/>
          <w:b w:val="0"/>
          <w:bCs/>
          <w:i w:val="0"/>
          <w:sz w:val="22"/>
          <w:u w:val="none"/>
          <w:lang/>
        </w:rPr>
        <w:t>Etki Süresi: Düşük dozlar verilse bile, ilacın reseptörden ayrılması ve kas gücünün geri kazanılması (özellikle geri döndürücü ajanlar kullanılmazsa) normal popülasyona göre çok daha uzun sürer.</w:t>
      </w:r>
    </w:p>
    <w:p w14:paraId="43E60524" w14:textId="645A062F" w:rsid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i w:val="0"/>
          <w:sz w:val="22"/>
          <w:u w:val="none"/>
          <w:lang/>
        </w:rPr>
        <w:t>MG hastalarında kas gevşetici yönetimi "ya hep ya hiç" dengesidir. Süksinilkoline karşı var olan farmakodinamik direnç, sabah alınan piridostigminin farmakokinetik etkileşimiyle birleştiğinde öngörülemez uzamış bloklara yol açabilir. Non-depolarizan ajanlarda ise mikrodozlamlar (0,15 mg/kg Roküronyum gibi) tercih edilmeli, indüksiyondan itibaren kantitatif TOF monitörizasyonu ile her bir yanıt titizlikle takip edilmelidir.</w:t>
      </w:r>
    </w:p>
    <w:p w14:paraId="0152876E"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bCs/>
          <w:i w:val="0"/>
          <w:sz w:val="22"/>
          <w:u w:val="none"/>
          <w:lang/>
        </w:rPr>
        <w:t>Miller's Anesthesia (9th Edition, 2020) - Chapter 39: Anesthesia for Patients with Neuromuscular Disease.(MG patofizyolojisinde güvenlik marjının kaybını, süksinilkoline karşı ED95​ artışını ve non-depolarizan ajanlara gelişen kompetitif hassasiyetin hücresel mekanizmalarını detaylandıran temel textbook referansıdır.)</w:t>
      </w:r>
    </w:p>
    <w:p w14:paraId="56222502" w14:textId="77777777" w:rsidR="00E021C7" w:rsidRPr="00E021C7" w:rsidRDefault="00E021C7" w:rsidP="00E021C7">
      <w:pPr>
        <w:spacing w:after="0" w:line="360" w:lineRule="auto" w:before="0"/>
        <w:ind w:left="0" w:firstLine="0" w:right="0"/>
        <w:jc w:val="both"/>
        <w:rPr>
          <w:lang/>
        </w:rPr>
      </w:pPr>
      <w:r w:rsidRPr="00E021C7">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 (Antikolinesteraz (piridostigmin) kullanan hastalarda plazma kolinesteraz inhibisyonuna bağlı süksinilkolin eliminasyonunun uzamasını ve Faz II blok gelişim riskini klinik verilerle inceleyen makaledir.)</w:t>
      </w:r>
    </w:p>
    <w:p w14:paraId="7FD9E9E5" w14:textId="65EEF32B" w:rsidR="008D6F72" w:rsidRDefault="00E021C7" w:rsidP="008D6F72">
      <w:pPr>
        <w:spacing w:after="0" w:line="360" w:lineRule="auto" w:before="0"/>
        <w:ind w:left="0" w:firstLine="0" w:right="0"/>
        <w:jc w:val="both"/>
        <w:rPr>
          <w:lang/>
        </w:rPr>
      </w:pPr>
      <w:r w:rsidRPr="00E021C7">
        <w:rPr>
          <w:rFonts w:ascii="Times New Roman" w:hAnsi="Times New Roman" w:cs="Times New Roman" w:eastAsia="Times New Roman"/>
          <w:b w:val="0"/>
          <w:bCs/>
          <w:i w:val="0"/>
          <w:sz w:val="22"/>
          <w:u w:val="none"/>
          <w:lang/>
        </w:rPr>
        <w:t>Barash, P. G., et al. (8th Edition, 2017) - Clinical Anesthesia, Chapter: Neuromuscular Blockers. (Non-depolarizan ilaçların MG olgularında minimum dozlarla (1/3 - 1/4 oranında) titre edilmesi gerektiğini ve TOF kılavuzluğunun önemini vurgulayan standart referans kaynaktır.)</w:t>
      </w:r>
    </w:p>
    <w:p w14:paraId="597324E4" w14:textId="77777777" w:rsidR="00B1480E" w:rsidRPr="006F75B5" w:rsidRDefault="00B1480E" w:rsidP="00B1480E">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6 (İndüksiyon Stratejileri): NMB kullanımına bağlı postoperatif uzamış paralizi riskini ekarte etmek amacıyla, bu hastada endotrakeal entübasyon tamamen NMB kullanılmadan (sadece propofol, yüksek doz remifentanil ve topikal anestezi ile) güvenli bir şekilde gerçekleştirilebilir mi?</w:t>
      </w:r>
    </w:p>
    <w:p w14:paraId="0BD39CD3" w14:textId="61ACA4AD" w:rsidR="00B1480E" w:rsidRPr="00B1480E" w:rsidRDefault="00B1480E" w:rsidP="00B1480E">
      <w:pPr>
        <w:spacing w:after="0" w:line="360" w:lineRule="auto" w:before="0"/>
        <w:ind w:firstLine="0" w:left="0" w:right="0"/>
        <w:jc w:val="both"/>
        <w:rPr>
          <w:lang/>
        </w:rPr>
      </w:pPr>
      <w:r w:rsidRPr="00B1480E">
        <w:rPr>
          <w:rFonts w:ascii="Times New Roman" w:hAnsi="Times New Roman" w:cs="Times New Roman" w:eastAsia="Times New Roman"/>
          <w:b w:val="0"/>
          <w:i w:val="0"/>
          <w:sz w:val="22"/>
          <w:u w:val="none"/>
          <w:lang/>
        </w:rPr>
        <w:t>Myastenia Gravis (MG) hastalarında postoperatif uzamış nöromüsküler blokaj ve buna bağlı mekanik ventilasyon riskini sıfıra indirmenin en radikal ve güvenli yolu, endotrakeal entübasyonu hiç kas gevşetici (NMB) kullanmadan gerçekleştirmektir.</w:t>
      </w:r>
    </w:p>
    <w:p w14:paraId="5033F270" w14:textId="77777777" w:rsidR="00B1480E" w:rsidRPr="00B1480E" w:rsidRDefault="00B1480E" w:rsidP="00B1480E">
      <w:pPr>
        <w:spacing w:after="0" w:line="360" w:lineRule="auto" w:before="0"/>
        <w:ind w:firstLine="0" w:left="0" w:right="0"/>
        <w:jc w:val="both"/>
        <w:rPr>
          <w:lang/>
        </w:rPr>
      </w:pPr>
      <w:r w:rsidRPr="00B1480E">
        <w:rPr>
          <w:rFonts w:ascii="Times New Roman" w:hAnsi="Times New Roman" w:cs="Times New Roman" w:eastAsia="Times New Roman"/>
          <w:b w:val="0"/>
          <w:i w:val="0"/>
          <w:sz w:val="22"/>
          <w:u w:val="none"/>
          <w:lang/>
        </w:rPr>
        <w:t>Günümüz modern anestezi pratiğinde, propofolün larengeal refleksleri baskılayıcı gücü ile remifentanilin ultra kısa etkili, güçlü opioid etkisi birleştirilerek bu strateji başarıyla uygulanmaktadır. Yao &amp; Artusio tarzı probleme dayalı yaklaşımımızla bu "NMB'siz entübasyon" stratejisinin avantaj ve dezavantajlarını klinik olarak masaya yatıralım:</w:t>
      </w:r>
    </w:p>
    <w:p w14:paraId="73E89DD5" w14:textId="77777777" w:rsidR="00B1480E" w:rsidRPr="00B1480E" w:rsidRDefault="00B1480E" w:rsidP="00B1480E">
      <w:pPr>
        <w:spacing w:after="0" w:line="360" w:lineRule="auto" w:before="0"/>
        <w:ind w:firstLine="0" w:left="0" w:right="0"/>
        <w:jc w:val="both"/>
        <w:rPr>
          <w:b/>
          <w:bCs/>
          <w:lang/>
        </w:rPr>
      </w:pPr>
      <w:r w:rsidRPr="00B1480E">
        <w:rPr>
          <w:rFonts w:ascii="Times New Roman" w:hAnsi="Times New Roman" w:cs="Times New Roman" w:eastAsia="Times New Roman"/>
          <w:b w:val="0"/>
          <w:bCs/>
          <w:i w:val="0"/>
          <w:sz w:val="22"/>
          <w:u w:val="none"/>
          <w:lang/>
        </w:rPr>
        <w:t>1. NMB'siz Entübasyon Stratejisinin Klinik Rasyoneli</w:t>
      </w:r>
    </w:p>
    <w:p w14:paraId="3DFBEAD7" w14:textId="77777777" w:rsidR="00B1480E" w:rsidRPr="00B1480E" w:rsidRDefault="00B1480E" w:rsidP="00B1480E">
      <w:pPr>
        <w:spacing w:after="0" w:line="360" w:lineRule="auto" w:before="0"/>
        <w:ind w:firstLine="0" w:left="0" w:right="0"/>
        <w:jc w:val="both"/>
        <w:rPr>
          <w:lang/>
        </w:rPr>
      </w:pPr>
      <w:r w:rsidRPr="00B1480E">
        <w:rPr>
          <w:rFonts w:ascii="Times New Roman" w:hAnsi="Times New Roman" w:cs="Times New Roman" w:eastAsia="Times New Roman"/>
          <w:b w:val="0"/>
          <w:i w:val="0"/>
          <w:sz w:val="22"/>
          <w:u w:val="none"/>
          <w:lang/>
        </w:rPr>
        <w:t>Bu teknikte indüksiyon, güçlü bir hipnotik (propofol) ve yüksek doz kısa etkili bir opioid (remifentanil: 1−2 mcg/kgbolus ve ardından 0.25−0.5 mcg/kg/dk infüzyon) kombinasyonuyla yapılır. Korda topikal lokal anestezik (örn. %2 lidokain) uygulanması endotrakeal tüp toleransını mükemmelleştirir.</w:t>
      </w:r>
    </w:p>
    <w:p w14:paraId="046D1AB1" w14:textId="77777777" w:rsidR="00B1480E" w:rsidRPr="00B1480E" w:rsidRDefault="00B1480E" w:rsidP="00B1480E">
      <w:pPr>
        <w:spacing w:after="0" w:line="360" w:lineRule="auto" w:before="0"/>
        <w:ind w:firstLine="0" w:left="0" w:right="0"/>
        <w:jc w:val="both"/>
        <w:rPr>
          <w:b/>
          <w:bCs/>
          <w:lang/>
        </w:rPr>
      </w:pPr>
      <w:r w:rsidRPr="00B1480E">
        <w:rPr>
          <w:rFonts w:ascii="Times New Roman" w:hAnsi="Times New Roman" w:cs="Times New Roman" w:eastAsia="Times New Roman"/>
          <w:b w:val="0"/>
          <w:bCs/>
          <w:i w:val="0"/>
          <w:sz w:val="22"/>
          <w:u w:val="none"/>
          <w:lang/>
        </w:rPr>
        <w:t>A. Avantajları ("Neden Tercih Edelim?")</w:t>
      </w:r>
    </w:p>
    <w:p w14:paraId="68A5B0F2"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Sıfır Uzamış Paralizi Riski: Non-depolarizan bir ajanın mikrodosunda bile (roküronyum vb.) MG patofizyolojisi nedeniyle görebileceğimiz postoperatif blok uzaması riski tamamen ortadan kalkar.</w:t>
      </w:r>
    </w:p>
    <w:p w14:paraId="37821A0B"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"Fast-Track" (Erken Ekstübasyon) Garantisi: Cerrahi bittiği anda anestezik ajanlar kapatılır. Remifentanilin bağlama duyarlı yarılanma ömrü (context-sensitive half-life) sadece 3-5 dakika olduğundan, hastanın kendi bazal kas gücü saniyeler içinde geri döner ve ameliyat masasında güvenle ekstübe edilebilir.</w:t>
      </w:r>
    </w:p>
    <w:p w14:paraId="152DE194"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Geri Döndürücü İlaç İhtiyacının Kalmaması: Neostigminin kolinerjik yan etkileriyle (bradikardi, bronşiyal sekresyon artışı) veya sugammadeks maliyeti/nadir de olsa anafilaksi riskleriyle uğraşmak gerekmez.</w:t>
      </w:r>
    </w:p>
    <w:p w14:paraId="1C33AC7B" w14:textId="77777777" w:rsidR="00B1480E" w:rsidRPr="00B1480E" w:rsidRDefault="00B1480E" w:rsidP="00B1480E">
      <w:pPr>
        <w:spacing w:after="0" w:line="360" w:lineRule="auto" w:before="0"/>
        <w:ind w:firstLine="0" w:left="0" w:right="0"/>
        <w:jc w:val="both"/>
        <w:rPr>
          <w:b/>
          <w:bCs/>
          <w:lang/>
        </w:rPr>
      </w:pPr>
      <w:r w:rsidRPr="00B1480E">
        <w:rPr>
          <w:rFonts w:ascii="Times New Roman" w:hAnsi="Times New Roman" w:cs="Times New Roman" w:eastAsia="Times New Roman"/>
          <w:b w:val="0"/>
          <w:bCs/>
          <w:i w:val="0"/>
          <w:sz w:val="22"/>
          <w:u w:val="none"/>
          <w:lang/>
        </w:rPr>
        <w:t>B. Dezavantajları ve Klinik Riskleri ("Neleri Göze Alıyoruz?")</w:t>
      </w:r>
    </w:p>
    <w:p w14:paraId="056CA9A1"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Ciddi Hemodinamik Depresyon: Propofol ve yüksek doz remifentanil kombinasyonu sinerjik olarak şiddetli bradikardi ve hipotansiyona yol açar. Genç ve kardiyak rezervi iyi olan bu hastada (35 yaş) bu durum daha tolere edilebilir olsa da, indüksiyon sırasında efedrin/atropin gibi vazopressör ve kronotropların el altında bulundurulması şarttır.</w:t>
      </w:r>
    </w:p>
    <w:p w14:paraId="34B428C8"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Göğüs Duvarı Rijiditesi (Wooden Chest): Yüksek doz opioidlerin hızlı puşelenmesi, vokal kordlarda addüksiyona ve torasik kaslarda rijiditeye yol açarak hastanın maskeyle ventile edilmesini imkansız hale getirebilir. İlacın yavaş infüzyonla verilmesi bu riski önler.</w:t>
      </w:r>
    </w:p>
    <w:p w14:paraId="7E8D4955" w14:textId="77777777" w:rsidR="00B1480E" w:rsidRPr="00B1480E" w:rsidRDefault="00B1480E" w:rsidP="002B677C">
      <w:pPr>
        <w:spacing w:after="0" w:line="360" w:lineRule="auto" w:before="0"/>
        <w:ind w:firstLine="0" w:left="0" w:right="0"/>
        <w:jc w:val="both"/>
        <w:rPr>
          <w:lang/>
        </w:rPr>
      </w:pPr>
      <w:r w:rsidRPr="00B1480E">
        <w:rPr>
          <w:rFonts w:ascii="Times New Roman" w:hAnsi="Times New Roman" w:cs="Times New Roman" w:eastAsia="Times New Roman"/>
          <w:b w:val="0"/>
          <w:bCs/>
          <w:i w:val="0"/>
          <w:sz w:val="22"/>
          <w:u w:val="none"/>
          <w:lang/>
        </w:rPr>
        <w:t>Suboptimal Entübasyon Koşulları ve Hava Yolu Travması: Kas gevşemesi mükemmel olmadığında, vokal kordların hareket etmesi, hastanın tüpe karşı "öksürmesi" larengeal travmaya veya subglottik ödem riskine yol açabilir.</w:t>
      </w:r>
    </w:p>
    <w:p w14:paraId="6964A4B3" w14:textId="3736707E" w:rsidR="00B1480E" w:rsidRDefault="00B1480E" w:rsidP="00B1480E">
      <w:pPr>
        <w:spacing w:after="0" w:line="360" w:lineRule="auto" w:before="0"/>
        <w:ind w:firstLine="0" w:left="0" w:right="0"/>
        <w:jc w:val="both"/>
        <w:rPr>
          <w:lang/>
        </w:rPr>
      </w:pPr>
      <w:r w:rsidRPr="00B1480E">
        <w:rPr>
          <w:rFonts w:ascii="Times New Roman" w:hAnsi="Times New Roman" w:cs="Times New Roman" w:eastAsia="Times New Roman"/>
          <w:b w:val="0"/>
          <w:i w:val="0"/>
          <w:sz w:val="22"/>
          <w:u w:val="none"/>
          <w:lang/>
        </w:rPr>
        <w:t>35 yaşındaki, bulbar semptomu olmayan ve vital kapasitesi 2,5 L düzeyinde seyreden stabil hastamız, kas gevşeticisiz entübasyon için mükemmel bir adaydır. Robotik timektomide cerrahın göğüs boşluğuna girmesi ve kollabe akciğer üzerinde çalışması için derin bir hareketsizlik istense de, bu hareketsizlik kas gevşetici yerine inhalasyon anestezikleri veya propofol/remifentanil infüzyonunun derinliği (TİVA) ile intraoperatif dönemde de sürdürülebilir. Dolayısıyla, postoperatif dönemde yoğun bakım ihtiyacını önlemek adına bu hastada NMB'siz indüksiyon klinik olarak oldukça rasyonel bir seçenektir.</w:t>
      </w:r>
    </w:p>
    <w:p w14:paraId="48EA0BC6" w14:textId="77777777" w:rsidR="00B1480E" w:rsidRPr="00B1480E" w:rsidRDefault="00B1480E" w:rsidP="00B1480E">
      <w:pPr>
        <w:spacing w:after="0" w:line="360" w:lineRule="auto" w:before="0"/>
        <w:ind w:left="0" w:firstLine="0" w:right="0"/>
        <w:jc w:val="both"/>
        <w:rPr>
          <w:lang/>
        </w:rPr>
      </w:pPr>
      <w:r w:rsidRPr="00B1480E">
        <w:rPr>
          <w:rFonts w:ascii="Times New Roman" w:hAnsi="Times New Roman" w:cs="Times New Roman" w:eastAsia="Times New Roman"/>
          <w:b w:val="0"/>
          <w:i w:val="0"/>
          <w:iCs/>
          <w:sz w:val="22"/>
          <w:u w:val="none"/>
          <w:lang/>
        </w:rPr>
        <w:t>Özelleştirilmiş Nöromüsküler Hastalıklar ve Anestezi Yönetimi Kılavuzları ve Klinik Olgu Sunumları (Myastenia Gravis Perioperatif İlaç Protokolleri). (Bu kılavuz, MG olgularında remifentanil-propofol tabanlı NMB'siz intubasyon şemalarını, ajanların güvenli titrasyon aralıklarını ve postoperatif 'fast-track' ekstübasyon hedeflerini detaylandıran temel rehberimizdir.)</w:t>
      </w:r>
    </w:p>
    <w:p w14:paraId="55D27735" w14:textId="77777777" w:rsidR="00B1480E" w:rsidRPr="00B1480E" w:rsidRDefault="00B1480E" w:rsidP="00B1480E">
      <w:pPr>
        <w:spacing w:after="0" w:line="360" w:lineRule="auto" w:before="0"/>
        <w:ind w:left="0" w:firstLine="0" w:right="0"/>
        <w:jc w:val="both"/>
        <w:rPr>
          <w:lang/>
        </w:rPr>
      </w:pPr>
      <w:r w:rsidRPr="00B1480E">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 (Kas gevşetici kullanılmadan yapılan intubasyonların, myastenik kriz oranlarını ve ameliyat sonrası mekanik ventilasyon sürelerini nasıl dramatik şekilde düşürdüğünü gösteren klinik kohort analizlerini içerir.)</w:t>
      </w:r>
    </w:p>
    <w:p w14:paraId="063402A6" w14:textId="77777777" w:rsidR="00B1480E" w:rsidRPr="00B1480E" w:rsidRDefault="00B1480E" w:rsidP="00B1480E">
      <w:pPr>
        <w:spacing w:after="0" w:line="360" w:lineRule="auto" w:before="0"/>
        <w:ind w:left="0" w:firstLine="0" w:right="0"/>
        <w:jc w:val="both"/>
        <w:rPr>
          <w:lang/>
        </w:rPr>
      </w:pPr>
      <w:r w:rsidRPr="00B1480E">
        <w:rPr>
          <w:rFonts w:ascii="Times New Roman" w:hAnsi="Times New Roman" w:cs="Times New Roman" w:eastAsia="Times New Roman"/>
          <w:b w:val="0"/>
          <w:bCs/>
          <w:i w:val="0"/>
          <w:sz w:val="22"/>
          <w:u w:val="none"/>
          <w:lang/>
        </w:rPr>
        <w:t>Miller's Anesthesia (9th Edition, 2020) - Chapter 69: Anesthesia for Thoracic Surgery. (Vasküler ve torasik cerrahilerde, özellikle de robotik timektomilerde opioid tabanlı intubasyon tekniklerinin larengeal refleks baskılanması üzerindeki mekanizmalarını ve hemodinamik yan etki yönetimini ele alan standart referanstır.)</w:t>
      </w:r>
    </w:p>
    <w:p w14:paraId="0A08D8EC" w14:textId="77777777" w:rsidR="00A404FD" w:rsidRPr="006F75B5" w:rsidRDefault="00A404FD" w:rsidP="00A404FD">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7 (Anestezi İdamesi: Volatil vs. TİVA): Anestezi idamesinde volatil anesteziklerin (örn. sevofluran, desfluran) intrinsek nöromüsküler bloke edici etkileri MG hastalarında nasıl bir avantaj veya dezavantaj yaratır? Total İntravenöz Anestezi (TİVA) ile volatil anestezi idamesini bu hasta grubu özelinde karşılaştırınız.</w:t>
      </w:r>
    </w:p>
    <w:p w14:paraId="0685420D" w14:textId="77777777" w:rsidR="00A404FD" w:rsidRP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i w:val="0"/>
          <w:sz w:val="22"/>
          <w:u w:val="none"/>
          <w:lang/>
        </w:rPr>
        <w:t>Anestezi idamesinde volatil anestezikler ile Total İntravenöz Anestezi (TİVA) arasındaki seçim, Myastenia Gravis (MG) hastalarında cerrahi sahanın mükemmel hareketsizliğini sağlama gereksinimi ile ameliyat sonunda hızlı ve güvenli ekstübasyon hedefi arasındaki dengeyi belirler.</w:t>
      </w:r>
    </w:p>
    <w:p w14:paraId="41439B54" w14:textId="77777777" w:rsidR="00A404FD" w:rsidRP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i w:val="0"/>
          <w:sz w:val="22"/>
          <w:u w:val="none"/>
          <w:lang/>
        </w:rPr>
        <w:t>Yao &amp; Artusio tarzı probleme dayalı yaklaşımla, her iki idame stratejisinin nöromüsküler kavşak (NMK) üzerindeki etkilerini ve hastamız özelindeki klinik yansımalarını şu şekilde karşılaştırabiliriz:</w:t>
      </w:r>
    </w:p>
    <w:p w14:paraId="59AABE9B"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1. Volatil Anesteziklerin (Sevofluran, Desfluran) İntrinsek Etkileri</w:t>
      </w:r>
    </w:p>
    <w:p w14:paraId="065F1907" w14:textId="77777777" w:rsidR="00A404FD" w:rsidRP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i w:val="0"/>
          <w:sz w:val="22"/>
          <w:u w:val="none"/>
          <w:lang/>
        </w:rPr>
        <w:t>Volatil anestezikler, sadece santral sinir sistemini deprese etmekle kalmaz, aynı zamanda nöromüsküler kavşak üzerinde doğrudan intrinsek (kendinden) kas gevşetici etki gösterirler. Bu etki; postsinaptik nikotinik asetilkolin reseptörlerinin (nAChR) duyarsızlaştırılması, kas membran eksitabilitesinin azaltılması ve omurilikteki alfa motor nöron reflekslerinin baskılanması mekanizmalarıyla gerçekleşir.</w:t>
      </w:r>
    </w:p>
    <w:p w14:paraId="094FD76C"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Avantajları:</w:t>
      </w:r>
    </w:p>
    <w:p w14:paraId="5707EE59"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NMB Koruyucu (Sparing) Etki: Volatil ajanların bu intrensek gevşetici etkisi normal popülasyona göre MG hastalarında çok daha güçlü açığa çıkar. Bu durum, indüksiyonda uygulanan düşük doz non-depolarizan ajanın (örn. roküronyum) etkisini idame boyunca idrarla veya metabolizmayla atılsa bile klinik olarak uzatır.</w:t>
      </w:r>
    </w:p>
    <w:p w14:paraId="664FBB4C"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Ek Doz İhtiyacının Azalması: Çoğu zaman, 1−1,5 MAC düzeyinde sevofluran veya desfluran idamesi, cerrahi boyunca (robotik timektomide dahi) ek bir kas gevşetici dozu yapılmasına gerek kalmadan ideal cerrahi konfor ve hareketsizlik sağlar.</w:t>
      </w:r>
    </w:p>
    <w:p w14:paraId="1BD15330"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Dezavantajları:</w:t>
      </w:r>
    </w:p>
    <w:p w14:paraId="48712696"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Doz Bağımlı Blok Derinleşmesi: Volatil ajanların konsantrasyonu arttıkça NMK üzerindeki baskı da derinleşir. Ameliyat sonunda ajanların dokulardan temizlenmesi (wash-out) uzarsa, özellikle solunum rezervi sınırda olan (VC:2,5 L) bu hastada postoperatif rezidüel kürarizasyon ve hipoventilasyon riski doğabilir.</w:t>
      </w:r>
    </w:p>
    <w:p w14:paraId="37E233A4"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2. Total İntravenöz Anestezi (TİVA: Propofol + Remifentanil) Yaklaşımı</w:t>
      </w:r>
    </w:p>
    <w:p w14:paraId="7BE3EAAC" w14:textId="77777777" w:rsidR="00A404FD" w:rsidRP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i w:val="0"/>
          <w:sz w:val="22"/>
          <w:u w:val="none"/>
          <w:lang/>
        </w:rPr>
        <w:t>TİVA protokolünde anestezi idamesi, propofol ve ultra kısa etkili bir opioid olan remifentanilin hedef kontrollü veya manuel infüzyonu ile sağlanır.</w:t>
      </w:r>
    </w:p>
    <w:p w14:paraId="71AECF5A"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Avantajları:</w:t>
      </w:r>
    </w:p>
    <w:p w14:paraId="5A55AE19"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Öngörülebilir Nöromüsküler Derlenme: Propofol ve remifentanilin nöromüsküler iletim üzerinde hiçbir intrensek bloke edici etkisi yoktur. Bu sayede, indüksiyonda verilen kas gevşeticinin farmakokinetik eliminasyonu tamamen doğal sürecinde ilerler. Kantitatif TOF (Train-of-Four) monitöründe görülen değerler yapay olarak maskelenmez; derlenme son derece net ve öngörülebilir şekilde izlenir.</w:t>
      </w:r>
    </w:p>
    <w:p w14:paraId="2404DF68"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Hızlı ve Berrak Derlenme: Remifentanilin bağlama duyarlı yarılanma ömrünün (context-sensitive half-life) kısa olması sayesinde, infüzyon kapatıldığı an solunum sürücüsü hızla geri döner. Propofolün de postoperatif bulantı-kusmayı önleyici (antiemetik) etkisi, torasik cerrahi sonrası hastanın konforunu artırır.</w:t>
      </w:r>
    </w:p>
    <w:p w14:paraId="69FB68F4"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Dezavantajları:</w:t>
      </w:r>
    </w:p>
    <w:p w14:paraId="6CF6401D"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Daha Sık NMB Gereksinimi: İntrinsek bir kas gevşemesi sağlanmadığı için, özellikle robotik kolların göğüs duvarına sabitlendiği ve hastanın kesinlikle oynamamasının istendiği kritik cerrahi aşamalarda, TOF takibine göre çok düşük dozlarda (0,05−0,1 mg/kg Roküronyum gibi) ek non-depolarizan dozlarına ihtiyaç duyulabilir.</w:t>
      </w:r>
    </w:p>
    <w:p w14:paraId="3E0692D2" w14:textId="77777777" w:rsidR="00A404FD" w:rsidRPr="00A404FD" w:rsidRDefault="00A404FD" w:rsidP="00A404FD">
      <w:pPr>
        <w:spacing w:after="0" w:line="360" w:lineRule="auto" w:before="0"/>
        <w:ind w:firstLine="0" w:left="0" w:right="0"/>
        <w:jc w:val="both"/>
        <w:rPr>
          <w:b/>
          <w:bCs/>
          <w:lang/>
        </w:rPr>
      </w:pPr>
      <w:r w:rsidRPr="00A404FD">
        <w:rPr>
          <w:rFonts w:ascii="Times New Roman" w:hAnsi="Times New Roman" w:cs="Times New Roman" w:eastAsia="Times New Roman"/>
          <w:b w:val="0"/>
          <w:bCs/>
          <w:i w:val="0"/>
          <w:sz w:val="22"/>
          <w:u w:val="none"/>
          <w:lang/>
        </w:rPr>
        <w:t>TİVA mi, Volatil mi? (Vaka Özelinde Sentez)</w:t>
      </w:r>
    </w:p>
    <w:p w14:paraId="1D3B468D" w14:textId="77777777" w:rsidR="00A404FD" w:rsidRP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Klinik Karar Dengesi: 35 yaşındaki hastamızda gerçekleştirilecek Robotik Timektomi (RATS)cerrahisinde, mediastinal büyük damarların ve kalbin çok yakınında çalışıldığı için en ufak bir hasta hareketi veya öksürme refleksi katastrofik kanamalara yol açabilir.</w:t>
      </w:r>
    </w:p>
    <w:p w14:paraId="060E54E9"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Eğer TİVA tercih edilirse: Derin analjezi sağlamak için remifentanil dozu yüksek tutulmalı (0,25−0,5 mcg/kg/dk), kas gevşemesi TOF kılavuzluğunda çok sıkı titre edilmelidir.</w:t>
      </w:r>
    </w:p>
    <w:p w14:paraId="6EDC1F45" w14:textId="77777777" w:rsidR="00A404FD" w:rsidRPr="00A404FD" w:rsidRDefault="00A404FD" w:rsidP="002B677C">
      <w:pPr>
        <w:spacing w:after="0" w:line="360" w:lineRule="auto" w:before="0"/>
        <w:ind w:firstLine="0" w:left="0" w:right="0"/>
        <w:jc w:val="both"/>
        <w:rPr>
          <w:lang/>
        </w:rPr>
      </w:pPr>
      <w:r w:rsidRPr="00A404FD">
        <w:rPr>
          <w:rFonts w:ascii="Times New Roman" w:hAnsi="Times New Roman" w:cs="Times New Roman" w:eastAsia="Times New Roman"/>
          <w:b w:val="0"/>
          <w:bCs/>
          <w:i w:val="0"/>
          <w:sz w:val="22"/>
          <w:u w:val="none"/>
          <w:lang/>
        </w:rPr>
        <w:t>Eğer Volatil tercih edilirse: Ameliyat boyunca ek kas gevşeticiden kaçınılmalı, ancak operasyonun bitimine son 15-20 dakika kala volatil ajan dozu kademeli olarak düşürülerek (&lt;0,5 MAC) hastanın kendi kas gücünün geri dönmesine izin verilmelidir.</w:t>
      </w:r>
    </w:p>
    <w:p w14:paraId="0DA895DA" w14:textId="77777777" w:rsidR="00A404FD" w:rsidRDefault="00A404FD" w:rsidP="00A404FD">
      <w:pPr>
        <w:spacing w:after="0" w:line="360" w:lineRule="auto" w:before="0"/>
        <w:ind w:firstLine="0" w:left="0" w:right="0"/>
        <w:jc w:val="both"/>
        <w:rPr>
          <w:lang/>
        </w:rPr>
      </w:pPr>
      <w:r w:rsidRPr="00A404FD">
        <w:rPr>
          <w:rFonts w:ascii="Times New Roman" w:hAnsi="Times New Roman" w:cs="Times New Roman" w:eastAsia="Times New Roman"/>
          <w:b w:val="0"/>
          <w:i w:val="0"/>
          <w:sz w:val="22"/>
          <w:u w:val="none"/>
          <w:lang/>
        </w:rPr>
        <w:t>Klinik pratik ve klinik kaynaklarımız, her iki yöntemin de başarıyla uygulanabileceğini göstermektedir; ancak TOF değerlerinin gerçek zamanlı ve yalın takibi açısından TİVA, operasyon sonu "fast-track" ekstübasyon hedefleyen merkezlerde bir adım öne çıkmaktadır.</w:t>
      </w:r>
    </w:p>
    <w:p w14:paraId="115B3681" w14:textId="77777777" w:rsidR="00A404FD" w:rsidRPr="00A404FD" w:rsidRDefault="00A404FD" w:rsidP="00A404FD">
      <w:pPr>
        <w:spacing w:after="0" w:line="360" w:lineRule="auto" w:before="0"/>
        <w:ind w:left="0" w:firstLine="0" w:right="0"/>
        <w:jc w:val="both"/>
        <w:rPr>
          <w:lang/>
        </w:rPr>
      </w:pPr>
      <w:r w:rsidRPr="00A404FD">
        <w:rPr>
          <w:rFonts w:ascii="Times New Roman" w:hAnsi="Times New Roman" w:cs="Times New Roman" w:eastAsia="Times New Roman"/>
          <w:b w:val="0"/>
          <w:bCs/>
          <w:i w:val="0"/>
          <w:sz w:val="22"/>
          <w:u w:val="none"/>
          <w:lang/>
        </w:rPr>
        <w:t>Miller's Anesthesia (9th Edition, 2020) - Chapter 39: Anesthesia for Patients with Neuromuscular Disease &amp; Chapter 69: Anesthesia for Thoracic Surgery. (Volatil anesteziklerin postsinaptik nikotinik reseptörler üzerindeki inhibitör mekanizmalarını, kas gevşeticilerle olan sinerjistik etkileşimlerini ve TİVA'nın nöromüsküler monitörizasyondaki prediktif avantajlarını sunan temel textbook referansıdır.)</w:t>
      </w:r>
    </w:p>
    <w:p w14:paraId="7346AAFB" w14:textId="77777777" w:rsidR="00A404FD" w:rsidRPr="00A404FD" w:rsidRDefault="00A404FD" w:rsidP="00A404FD">
      <w:pPr>
        <w:spacing w:after="0" w:line="360" w:lineRule="auto" w:before="0"/>
        <w:ind w:left="0" w:firstLine="0" w:right="0"/>
        <w:jc w:val="both"/>
        <w:rPr>
          <w:lang/>
        </w:rPr>
      </w:pPr>
      <w:r w:rsidRPr="00A404FD">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 (Sevofluran ve desfluranın MG olgularında NMB gereksinimini ne oranda azalttığını ve TİVA kombinasyonlarının erken ekstübasyon süreleri üzerindeki klinik karşılaştırmalarını içeren rehber makaledir.)</w:t>
      </w:r>
    </w:p>
    <w:p w14:paraId="791A6142" w14:textId="77777777" w:rsidR="00A404FD" w:rsidRPr="00A404FD" w:rsidRDefault="00A404FD" w:rsidP="00A404FD">
      <w:pPr>
        <w:spacing w:after="0" w:line="360" w:lineRule="auto" w:before="0"/>
        <w:ind w:left="0" w:firstLine="0" w:right="0"/>
        <w:jc w:val="both"/>
        <w:rPr>
          <w:lang/>
        </w:rPr>
      </w:pPr>
      <w:r w:rsidRPr="00A404FD">
        <w:rPr>
          <w:rFonts w:ascii="Times New Roman" w:hAnsi="Times New Roman" w:cs="Times New Roman" w:eastAsia="Times New Roman"/>
          <w:b w:val="0"/>
          <w:bCs/>
          <w:i w:val="0"/>
          <w:sz w:val="22"/>
          <w:u w:val="none"/>
          <w:lang/>
        </w:rPr>
        <w:t>Anestezi Pratiğinde Nöromüsküler Hastalıklara Yaklaşım Kılavuzları (Torasik ve Robotik Cerrahi Serisi).(Robotik timektomilerde hareketsizliğin önemi ile MG patofizyolojisindeki postoperatif solunum yetmezliği risklerinin yönetiminde anestezi idame ajanlarının titrasyon protokollerini içeren klinik kaynağımızdır.)</w:t>
      </w:r>
    </w:p>
    <w:p w14:paraId="5225FA2B" w14:textId="77777777" w:rsidR="00E579ED" w:rsidRPr="00F31185" w:rsidRDefault="00E579ED" w:rsidP="00E579ED">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8 (Robotik Cerrahi Fizyolojisi): Robotik timektomi sırasında uygulanacak CO2​ insüflasyonunun (kapnotoraks) ve hastaya verilecek pozisyonun intratorasik basınç, akciğer kompliyansı, venöz dönüş ve genel hemodinami üzerindeki olası etkileri nelerdir? Anestezi ekibi bu fizyolojik değişiklikleri akciğer koruyucu ventilasyon parametreleriyle nasıl yönetmelidir?</w:t>
      </w:r>
    </w:p>
    <w:p w14:paraId="74B888B8" w14:textId="2C3A503B"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i w:val="0"/>
          <w:sz w:val="22"/>
          <w:u w:val="none"/>
          <w:lang/>
        </w:rPr>
        <w:t>Robotik timektomide (RATS) uygulanan yapay kapnotoraks ve cerrahi pozisyonlama, göğüs kafesi açık yapılan geleneksel cerrahilerden tamamen farklı bir fizyopatolojik tablo yaratır. Güncel ERAS (Cerrahi Sonrası Erken Derlenme) protokolleri ve modern torasik anestezi kılavuzları ışığında, bu mekanik etkileri ve akciğer koruyucu ventilasyon (AKV) yönetimini en güncel klinik yaklaşımlarla yeniden ele alalım.</w:t>
      </w:r>
    </w:p>
    <w:p w14:paraId="6661FF8A"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1. Kapnotoraks ve Pozisyonun Güncel Fizyopatolojik Analizi</w:t>
      </w:r>
    </w:p>
    <w:p w14:paraId="58954558" w14:textId="77777777"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i w:val="0"/>
          <w:sz w:val="22"/>
          <w:u w:val="none"/>
          <w:lang/>
        </w:rPr>
        <w:t>Modern cerrahide plevral boşluğa uygulanan CO2​ insüflasyonu (8−12 mmHg) ve hastaya verilen yarı lateral/reverse Trendelenburg pozisyonu iki temel cephede meydan okuma yaratır:</w:t>
      </w:r>
    </w:p>
    <w:p w14:paraId="7192369A"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Solunum Mekanikleri Üzerindeki Baskı</w:t>
      </w:r>
    </w:p>
    <w:p w14:paraId="1145B8E5" w14:textId="77777777" w:rsidR="00DD74C1" w:rsidRPr="00DD74C1" w:rsidRDefault="00DD74C1" w:rsidP="002B677C">
      <w:pPr>
        <w:spacing w:line="360" w:lineRule="auto" w:after="0" w:before="0"/>
        <w:ind w:firstLine="0" w:left="0" w:right="0"/>
        <w:jc w:val="both"/>
        <w:rPr>
          <w:lang/>
        </w:rPr>
      </w:pPr>
      <w:r w:rsidRPr="00DD74C1">
        <w:rPr>
          <w:rFonts w:ascii="Times New Roman" w:hAnsi="Times New Roman" w:cs="Times New Roman" w:eastAsia="Times New Roman"/>
          <w:b w:val="0"/>
          <w:bCs/>
          <w:i w:val="0"/>
          <w:sz w:val="22"/>
          <w:u w:val="none"/>
          <w:lang/>
        </w:rPr>
        <w:t>Atelektazi ve Şant: Yüksek intratorasik basınç, bağımlı akciğer alanlarında mikro-atelektazilere yol açarak ventilasyon/perfüzyon (V/Q) uyumsuzluğunu derinleştirir. Akciğer kompliyansı %30 ila %40 oranında azalır.</w:t>
      </w:r>
    </w:p>
    <w:p w14:paraId="3AD2E1EA" w14:textId="77777777" w:rsidR="00DD74C1" w:rsidRPr="00DD74C1" w:rsidRDefault="00DD74C1" w:rsidP="002B677C">
      <w:pPr>
        <w:spacing w:line="360" w:lineRule="auto" w:after="0" w:before="0"/>
        <w:ind w:firstLine="0" w:left="0" w:right="0"/>
        <w:jc w:val="both"/>
        <w:rPr>
          <w:lang/>
        </w:rPr>
      </w:pPr>
      <w:r w:rsidRPr="00DD74C1">
        <w:rPr>
          <w:rFonts w:ascii="Times New Roman" w:hAnsi="Times New Roman" w:cs="Times New Roman" w:eastAsia="Times New Roman"/>
          <w:b w:val="0"/>
          <w:bCs/>
          <w:i w:val="0"/>
          <w:sz w:val="22"/>
          <w:u w:val="none"/>
          <w:lang/>
        </w:rPr>
        <w:t>Hiperkapni ve Asidoz: Plevra yüzeyinden sürekli absorbe olan CO2​, sistemik solunumsal asidoza neden olur. Asidoz ise Myastenia Gravis hastalarında nöromüsküler iletim blokajını potansiyalize edebileceği için yakından yönetilmelidir.</w:t>
      </w:r>
    </w:p>
    <w:p w14:paraId="473194BD"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Hemodinamik Etkiler (Preload ve Afterload Çatışması)</w:t>
      </w:r>
    </w:p>
    <w:p w14:paraId="5424027B" w14:textId="77777777" w:rsidR="00DD74C1" w:rsidRPr="00DD74C1" w:rsidRDefault="00DD74C1" w:rsidP="002B677C">
      <w:pPr>
        <w:spacing w:line="360" w:lineRule="auto" w:after="0" w:before="0"/>
        <w:ind w:firstLine="0" w:left="0" w:right="0"/>
        <w:jc w:val="both"/>
        <w:rPr>
          <w:lang/>
        </w:rPr>
      </w:pPr>
      <w:r w:rsidRPr="00DD74C1">
        <w:rPr>
          <w:rFonts w:ascii="Times New Roman" w:hAnsi="Times New Roman" w:cs="Times New Roman" w:eastAsia="Times New Roman"/>
          <w:b w:val="0"/>
          <w:bCs/>
          <w:i w:val="0"/>
          <w:sz w:val="22"/>
          <w:u w:val="none"/>
          <w:lang/>
        </w:rPr>
        <w:t>Kardiyak Output Düşüşü: Göğüs içi basıncın artması vena cava üstündeki mekanik basıyı artırarak venöz dönüşü (preload) azaltır. Eş zamanlı olarak hipoksi ve hiperkapniye bağlı pulmoner vazokonstrüksiyon, sağ ventrikül art yükünü (afterload) yükseltir.</w:t>
      </w:r>
    </w:p>
    <w:p w14:paraId="04801123" w14:textId="77777777" w:rsidR="00DD74C1" w:rsidRPr="00DD74C1" w:rsidRDefault="00DD74C1" w:rsidP="002B677C">
      <w:pPr>
        <w:spacing w:line="360" w:lineRule="auto" w:after="0" w:before="0"/>
        <w:ind w:firstLine="0" w:left="0" w:right="0"/>
        <w:jc w:val="both"/>
        <w:rPr>
          <w:lang/>
        </w:rPr>
      </w:pPr>
      <w:r w:rsidRPr="00DD74C1">
        <w:rPr>
          <w:rFonts w:ascii="Times New Roman" w:hAnsi="Times New Roman" w:cs="Times New Roman" w:eastAsia="Times New Roman"/>
          <w:b w:val="0"/>
          <w:bCs/>
          <w:i w:val="0"/>
          <w:sz w:val="22"/>
          <w:u w:val="none"/>
          <w:lang/>
        </w:rPr>
        <w:t>Sempatik Aktivasyon: Absorbe olan gazın yarattığı hiperkapni sempatik sistemi uyararak maskelenmiş bir hipertansiyon ve taşikardi tablosu yaratabilir; bu durum gerçek hacim statüsünü (hipovolemiyi) gizleyebilir.</w:t>
      </w:r>
    </w:p>
    <w:p w14:paraId="401E2722"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2. Güncel Akciğer Koruyucu Ventilasyon (AKV) Stratejisi</w:t>
      </w:r>
    </w:p>
    <w:p w14:paraId="5FD01EC3" w14:textId="77777777"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i w:val="0"/>
          <w:sz w:val="22"/>
          <w:u w:val="none"/>
          <w:lang/>
        </w:rPr>
        <w:t>Hastamızın bazal vital kapasitesinin 2.5 L olduğunu düşündüğümüzde, ameliyat sonu hızlı ekstübasyon (fast-track) başarısı tamamen intraoperatif ventilatör stratejisine bağlıdır. Güncel kılavuzlar şu parametreleri önermektedir:</w:t>
      </w:r>
    </w:p>
    <w:p w14:paraId="243E1E06"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Permisif Hiperkapni ve Solunum Hızı Titrasyonu</w:t>
      </w:r>
    </w:p>
    <w:p w14:paraId="7E12893E" w14:textId="2A3DE5EC"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i w:val="0"/>
          <w:sz w:val="22"/>
          <w:u w:val="none"/>
          <w:lang/>
        </w:rPr>
        <w:t>CO2​ eliminasyonunu sağlamak için solunum hızı (frekans) artırılmalıdır. Ancak hızın aşırı artırılması ekspiryum süresini kısaltarak oto-PEEP (intrensek PEEP) oluşumuna ve venöz dönüşün daha da bozulmasına yol açar. Bu nedenle güncel kılavuzlar, arteriyel pH&gt;7.25 ve EtCO2​&lt;50−55 mmHg arasında tutulacak şekilde ılımlı bir permisif hiperkapniye izin verilmesini önermektedir.</w:t>
      </w:r>
    </w:p>
    <w:p w14:paraId="28281127" w14:textId="77777777" w:rsidR="00DD74C1" w:rsidRPr="00DD74C1" w:rsidRDefault="00DD74C1" w:rsidP="00DD74C1">
      <w:pPr>
        <w:spacing w:line="360" w:lineRule="auto" w:after="0" w:before="0"/>
        <w:ind w:firstLine="0" w:left="0" w:right="0"/>
        <w:jc w:val="both"/>
        <w:rPr>
          <w:b/>
          <w:bCs/>
          <w:lang/>
        </w:rPr>
      </w:pPr>
      <w:r w:rsidRPr="00DD74C1">
        <w:rPr>
          <w:rFonts w:ascii="Times New Roman" w:hAnsi="Times New Roman" w:cs="Times New Roman" w:eastAsia="Times New Roman"/>
          <w:b w:val="0"/>
          <w:bCs/>
          <w:i w:val="0"/>
          <w:sz w:val="22"/>
          <w:u w:val="none"/>
          <w:lang/>
        </w:rPr>
        <w:t>3. Kritik Güncel Güncelleme: Hedefe Yönelik Sıvı Tedavisi (GDFT)</w:t>
      </w:r>
    </w:p>
    <w:p w14:paraId="2426C1C9" w14:textId="77777777"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i w:val="0"/>
          <w:sz w:val="22"/>
          <w:u w:val="none"/>
          <w:lang/>
        </w:rPr>
        <w:t>Modern perioperatif yönetimde gözden kaçırılmaması gereken en önemli nokta sıvı kısıtlamasıdır. Kapnotoraksın yarattığı preload azalmasına bağlı hipotansiyonu düzeltmek için hastaya agresif hidrasyon (kristaloid yüklemesi) uygulamak güncel pratikte tamamen terk edilmiştir.</w:t>
      </w:r>
    </w:p>
    <w:p w14:paraId="7DE513D5" w14:textId="77777777" w:rsidR="00DD74C1" w:rsidRPr="00DD74C1" w:rsidRDefault="00DD74C1" w:rsidP="00DD74C1">
      <w:pPr>
        <w:spacing w:line="360" w:lineRule="auto" w:after="0" w:before="0"/>
        <w:ind w:firstLine="0" w:left="0" w:right="0"/>
        <w:jc w:val="both"/>
        <w:rPr>
          <w:lang/>
        </w:rPr>
      </w:pPr>
      <w:r w:rsidRPr="00DD74C1">
        <w:rPr>
          <w:rFonts w:ascii="Times New Roman" w:hAnsi="Times New Roman" w:cs="Times New Roman" w:eastAsia="Times New Roman"/>
          <w:b w:val="0"/>
          <w:bCs/>
          <w:i w:val="0"/>
          <w:sz w:val="22"/>
          <w:u w:val="none"/>
          <w:lang/>
        </w:rPr>
        <w:t>Modern Klinik Kural: Aşırı sıvı yüklemesi, zaten solunum kas rezervi sınırda olan (VC: 2.5 L) MG hastasında postoperatif dönemde interstitiyel akciğer ödemine yol açarak ekstübasyonu imkansız hale getirir. Hemodinamik dalgalanmalar sıvı yerine minimal doz vazopressörlerle (örn. efedrin veya norepinefrin infüzyonu) yönetilmeli, sıvı yönetimi Stroke Volüm Varyasyonu (SVV) gibi dinamik parametrelerle hedefe yönelik (GDFT) planlanmalıdır.</w:t>
      </w:r>
    </w:p>
    <w:p w14:paraId="498CF7A3" w14:textId="77777777" w:rsidR="00DD74C1" w:rsidRPr="00DD74C1" w:rsidRDefault="00DD74C1" w:rsidP="00E028AE">
      <w:pPr>
        <w:spacing w:line="360" w:lineRule="auto" w:after="0" w:before="0"/>
        <w:ind w:left="0" w:firstLine="0" w:right="0"/>
        <w:jc w:val="both"/>
        <w:rPr>
          <w:lang/>
        </w:rPr>
      </w:pPr>
      <w:r w:rsidRPr="00DD74C1">
        <w:rPr>
          <w:rFonts w:ascii="Times New Roman" w:hAnsi="Times New Roman" w:cs="Times New Roman" w:eastAsia="Times New Roman"/>
          <w:b w:val="0"/>
          <w:bCs/>
          <w:i w:val="0"/>
          <w:sz w:val="22"/>
          <w:u w:val="none"/>
          <w:lang/>
        </w:rPr>
        <w:t>ERAS® Society Guidelines for Perioperative Care in Thoracic Surgery (2024/2025 Updates): Robotik torasik cerrahilerde akciğer koruyucu ventilasyon limitleri, minimal sıvı stratejileri ve erken ekstübasyon protokollerinin standardizasyonu.</w:t>
      </w:r>
    </w:p>
    <w:p w14:paraId="4004F34B" w14:textId="77777777" w:rsidR="00DD74C1" w:rsidRPr="00DD74C1" w:rsidRDefault="00DD74C1" w:rsidP="00E028AE">
      <w:pPr>
        <w:spacing w:line="360" w:lineRule="auto" w:after="0" w:before="0"/>
        <w:ind w:left="0" w:firstLine="0" w:right="0"/>
        <w:jc w:val="both"/>
        <w:rPr>
          <w:lang/>
        </w:rPr>
      </w:pPr>
      <w:r w:rsidRPr="00DD74C1">
        <w:rPr>
          <w:rFonts w:ascii="Times New Roman" w:hAnsi="Times New Roman" w:cs="Times New Roman" w:eastAsia="Times New Roman"/>
          <w:b w:val="0"/>
          <w:bCs/>
          <w:i w:val="0"/>
          <w:sz w:val="22"/>
          <w:u w:val="none"/>
          <w:lang/>
        </w:rPr>
        <w:t>Principles and Practice of Anesthesia for Thoracic Surgery (3rd Edition): Kapnotoraks patofizyolojisi, plevral CO2​ absorbsiyonu ve sürüş basıncı (ΔP) odaklı ventilatör yönetimi.</w:t>
      </w:r>
    </w:p>
    <w:p w14:paraId="18F65E3D" w14:textId="77777777" w:rsidR="00DD74C1" w:rsidRPr="00DD74C1" w:rsidRDefault="00DD74C1" w:rsidP="00E028AE">
      <w:pPr>
        <w:spacing w:line="360" w:lineRule="auto" w:after="0" w:before="0"/>
        <w:ind w:left="0" w:firstLine="0" w:right="0"/>
        <w:jc w:val="both"/>
        <w:rPr>
          <w:lang/>
        </w:rPr>
      </w:pPr>
      <w:r w:rsidRPr="00DD74C1">
        <w:rPr>
          <w:rFonts w:ascii="Times New Roman" w:hAnsi="Times New Roman" w:cs="Times New Roman" w:eastAsia="Times New Roman"/>
          <w:b w:val="0"/>
          <w:bCs/>
          <w:i w:val="0"/>
          <w:sz w:val="22"/>
          <w:u w:val="none"/>
          <w:lang/>
        </w:rPr>
        <w:t>Current International Consensus Guidance for the Management of Myasthenia Gravis: Kas gücü sınırda olan olgularda perioperatif respiratuar ve hemodinamik optimizasyon kriterleri.</w:t>
      </w:r>
    </w:p>
    <w:p w14:paraId="650B27A9" w14:textId="2F8A8042" w:rsidR="00DD74C1" w:rsidRDefault="005C28FF" w:rsidP="00D12755">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9 (Monitörizasyon): Nöromüsküler fonksiyonun intraoperatif takibinde kantitatif "Train-of-Four" (TOF) monitörizasyonu neden altın standarttır? Yalnızca klinik belirtilere (örneğin solunum eforu) veya kalitatif TOF (görsel/taktil) değerlendirmesine güvenmek neden risklidir?</w:t>
      </w:r>
    </w:p>
    <w:p w14:paraId="177F10F3"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i w:val="0"/>
          <w:sz w:val="22"/>
          <w:u w:val="none"/>
          <w:lang/>
        </w:rPr>
        <w:t>Myastenia Gravis (MG) patofizyolojisinde postsinaptik nikotinik asetilkolin reseptörlerinin (nAChR) otoimmün destrüksiyonu, nöromüsküler iletimin "güvenlik marjını" (safety margin) dramatik ölçüde daraltır. Bu zemin üzerinde, minimal düzeydeki Rezidüel Nöromüsküler Blokaj (RNMB) dahi myastenik olgularda ölümcül solunumsal komplikasyonlara yol açabilir.</w:t>
      </w:r>
    </w:p>
    <w:p w14:paraId="00B9F699"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i w:val="0"/>
          <w:sz w:val="22"/>
          <w:u w:val="none"/>
          <w:lang/>
        </w:rPr>
        <w:t>Perioperatif dönemde hastanın nöromüsküler fonksiyonlarının objektif olarak değerlendirilmesi, "fast-track" ekstübasyon protokollerinin güvenliği açısından kritik önem taşır. Kantitatif monirötizasyonun altın standart olma gerekçelerini ve konvansiyonel yöntemlerin taşıdığı riskleri akademik düzeyde şu başlıklar altında inceleyebiliriz:</w:t>
      </w:r>
    </w:p>
    <w:p w14:paraId="79360786" w14:textId="77777777" w:rsidR="005C28FF" w:rsidRPr="005C28FF" w:rsidRDefault="005C28FF" w:rsidP="00D12755">
      <w:pPr>
        <w:spacing w:line="360" w:lineRule="auto" w:after="0" w:before="0"/>
        <w:ind w:firstLine="0" w:left="0" w:right="0"/>
        <w:jc w:val="both"/>
        <w:rPr>
          <w:b/>
          <w:bCs/>
          <w:lang/>
        </w:rPr>
      </w:pPr>
      <w:r w:rsidRPr="005C28FF">
        <w:rPr>
          <w:rFonts w:ascii="Times New Roman" w:hAnsi="Times New Roman" w:cs="Times New Roman" w:eastAsia="Times New Roman"/>
          <w:b w:val="0"/>
          <w:bCs/>
          <w:i w:val="0"/>
          <w:sz w:val="22"/>
          <w:u w:val="none"/>
          <w:lang/>
        </w:rPr>
        <w:t>1. Konvansiyonel Klinik Belirtilerin Yetersizliği ve Fizyolojik Tuzaklar</w:t>
      </w:r>
    </w:p>
    <w:p w14:paraId="28CB8583"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i w:val="0"/>
          <w:sz w:val="22"/>
          <w:u w:val="none"/>
          <w:lang/>
        </w:rPr>
        <w:t>Geleneksel anestezi pratiğinde yaygın olarak kullanılan "5 saniye süreyle başı yataktan kaldırabilme", "yeterli tidal volüm üretebilme", "etkin öksürük refleksi" ve "dil basacağına karşı güçlü ısırma" gibi yatak başı klinik testler, nöromüsküler iletimin tam olarak iyileştiğini kanıtlamada yetersiz ve duyarsız duyarlılığa sahiptir.</w:t>
      </w:r>
    </w:p>
    <w:p w14:paraId="22CDABC3"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Diferansiyel Kas Hassasiyeti: Nöromüsküler blokerlerin (NMB) farklı kas grupları üzerindeki farmakodinamik etkileri heterojendir. Diyafram kası, non-depolarizan NMB ajanlarına karşı en dirençli ve en hızlı iyileşen kas grubudur. Buna karşın, üst hava yolunun açıklığını ve patentliğini sağlayan farengeal konstrüktör kaslar ile geniyoglosus kası, NMB ajanlarına karşı son derece hassastır ve en geç derlenen fonksiyonlardır.</w:t>
      </w:r>
    </w:p>
    <w:p w14:paraId="47432205"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Gizli Felç (Klinik Maskeleme): Hasta, Train-of-Four (TOF) oranı (T4​/T1​) henüz 0.50 - 0.60 seviyesindeyken dahi diyafram gücü sayesinde 5 saniye baş kaldırma testini başarıyla gerçekleştirebilir veya yeterli spontan tidal volüm üretebilir. Ancak bu esnada farengeal kaslardaki parsiyel paralizi devam etmektedir. Bu dönemde yapılacak bir ekstübasyon; üst hava yolu kollapsına, koruyucu larengeal reflekslerin kaybına, mikro-aspirasyonlara ve akut postoperatif solunum yetmezliğine zemin hazırlar.</w:t>
      </w:r>
    </w:p>
    <w:p w14:paraId="757CECE9" w14:textId="77777777" w:rsidR="005C28FF" w:rsidRPr="005C28FF" w:rsidRDefault="005C28FF" w:rsidP="00D12755">
      <w:pPr>
        <w:spacing w:line="360" w:lineRule="auto" w:after="0" w:before="0"/>
        <w:ind w:firstLine="0" w:left="0" w:right="0"/>
        <w:jc w:val="both"/>
        <w:rPr>
          <w:b/>
          <w:bCs/>
          <w:lang/>
        </w:rPr>
      </w:pPr>
      <w:r w:rsidRPr="005C28FF">
        <w:rPr>
          <w:rFonts w:ascii="Times New Roman" w:hAnsi="Times New Roman" w:cs="Times New Roman" w:eastAsia="Times New Roman"/>
          <w:b w:val="0"/>
          <w:bCs/>
          <w:i w:val="0"/>
          <w:sz w:val="22"/>
          <w:u w:val="none"/>
          <w:lang/>
        </w:rPr>
        <w:t>2. Kalitatif (Görsel ve Taktil) TOF Değerlendirmesinin Subjektif Sınırları</w:t>
      </w:r>
    </w:p>
    <w:p w14:paraId="54999157"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i w:val="0"/>
          <w:sz w:val="22"/>
          <w:u w:val="none"/>
          <w:lang/>
        </w:rPr>
        <w:t>Periferik sinir stimülatörü ile nervus ulnaris uyarımı sonrası musculus adductor pollicis kasılması veya nervus facialisuyarımı sonrası musculus orbicularis oculi yanıtının el yordamıyla (taktil) hissedilmesi veya gözle (görsel) izlenmesi, tamamen klinisyenin duyusal eşik sınırlarına bağlı sübjektif bir yöntemdir.</w:t>
      </w:r>
    </w:p>
    <w:p w14:paraId="2269A99F"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İnsan Duyusunun Sınırı (The Blind Spot): Literatür verileri, insan elinin veya gözünün, ardışık dört uyarı arasındaki amplitüd azalmasını (fade/solma fenomenini) ayırt etme yeteneğinin sınırlı olduğunu kesin olarak göstermiştir. TOF oranı 0.40'ın üzerine çıktığında, taktil veya görsel olarak "fade" algılanması neredeyse imkansız hale gelir.</w:t>
      </w:r>
    </w:p>
    <w:p w14:paraId="4A9D0BA2"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Yalancı Güven hissi: Klinisyen, dört mekanik kasılmayı da "eşit ve güçlü" olarak algılayabilir (kalitatif olarak 4/4 yanıt). Ancak bu esnada hastanın objektif TOF oranı 0.60 - 0.70 civarında olabilir. Özellikle güvenlik marjı ortadan kalkmış olan bu MG hastasında (bazal vital kapasitesi 2.5 L), 0.70'lik bir TOF oranı kritik solunumsal dekompensasyonu tetiklemek için yeterlidir.</w:t>
      </w:r>
    </w:p>
    <w:p w14:paraId="05D41BA6" w14:textId="77777777" w:rsidR="005C28FF" w:rsidRPr="005C28FF" w:rsidRDefault="005C28FF" w:rsidP="00D12755">
      <w:pPr>
        <w:spacing w:line="360" w:lineRule="auto" w:after="0" w:before="0"/>
        <w:ind w:firstLine="0" w:left="0" w:right="0"/>
        <w:jc w:val="both"/>
        <w:rPr>
          <w:b/>
          <w:bCs/>
          <w:lang/>
        </w:rPr>
      </w:pPr>
      <w:r w:rsidRPr="005C28FF">
        <w:rPr>
          <w:rFonts w:ascii="Times New Roman" w:hAnsi="Times New Roman" w:cs="Times New Roman" w:eastAsia="Times New Roman"/>
          <w:b w:val="0"/>
          <w:bCs/>
          <w:i w:val="0"/>
          <w:sz w:val="22"/>
          <w:u w:val="none"/>
          <w:lang/>
        </w:rPr>
        <w:t>3. Kantitatif TOF Monitörizasyonunun Bilimsel Rasyoneli</w:t>
      </w:r>
    </w:p>
    <w:p w14:paraId="353561F5"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i w:val="0"/>
          <w:sz w:val="22"/>
          <w:u w:val="none"/>
          <w:lang/>
        </w:rPr>
        <w:t>Kantitatif (objektif) monitörizasyon; akseleromiyografi (AMG), elektromiyografi (EMG) veya kinemiyografi (KMG) gibi fiziksel/elektriksel ölçüm modalitelerini kullanarak dördüncü kasılma yanıtının ilk kasılma yanıtına olan oranını (T4​/T1​) net bir matematiksel değer olarak ekrana yansıtır.</w:t>
      </w:r>
    </w:p>
    <w:p w14:paraId="5BFBC5C0"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Güvenli Ekstübasyon Eşiği: Modern uluslararası anestezi kılavuzları, postoperatif pulmoner komplikasyon riskini en aza indirmek için objektif TOF oranının ≥ 0.90 (%90) olmasını zorunlu kılmaktadır. Myastenia Gravis gibi nöromüsküler iletim bozukluğu olan patolojilerde ise üst hava yolu reflekslerinin tam güvenliği için bu eşik değerin &gt; 0.95 (%95) seviyesinde görülmesi istenir.</w:t>
      </w:r>
    </w:p>
    <w:p w14:paraId="64DE371B" w14:textId="77777777" w:rsidR="005C28FF" w:rsidRPr="005C28FF" w:rsidRDefault="005C28FF" w:rsidP="002B677C">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Gri Bölgenin Görünür Kılınması: Kantitatif monitörizasyon, kalitatif yöntemlerin kör noktası olan %40 ile %90 arasındaki tehlikeli rezidüel blokaj evresini kesin ve hassas bir şekilde ölçebilen yegane yöntemdir.</w:t>
      </w:r>
    </w:p>
    <w:p w14:paraId="0FDFD223" w14:textId="77777777" w:rsidR="005C28FF" w:rsidRPr="005C28FF" w:rsidRDefault="005C28FF" w:rsidP="00D12755">
      <w:pPr>
        <w:spacing w:line="360" w:lineRule="auto" w:after="0" w:before="0"/>
        <w:ind w:firstLine="0" w:left="0" w:right="0"/>
        <w:jc w:val="both"/>
        <w:rPr>
          <w:lang/>
        </w:rPr>
      </w:pPr>
      <w:r w:rsidRPr="005C28FF">
        <w:rPr>
          <w:rFonts w:ascii="Times New Roman" w:hAnsi="Times New Roman" w:cs="Times New Roman" w:eastAsia="Times New Roman"/>
          <w:b w:val="0"/>
          <w:bCs/>
          <w:i w:val="0"/>
          <w:sz w:val="22"/>
          <w:u w:val="none"/>
          <w:lang/>
        </w:rPr>
        <w:t>Akademik Konsensüs Özeti: Robotik timektomi planlanan ve solunum rezervi sınırda seyreden (VC:2,5 L) Myastenia Gravis hastasında, intraoperatif dönemde non-depolarizan blok derinliğini izlemek ve ameliyat sonunda güvenli ekstübasyon kararı vermek için kantitatif TOF monitörizasyonu elektif bir seçenek değil, perioperatif hasta güvenliğinin yasal ve tıbbi bir zorunluluğudur. Cihaz ekranında sayısal olarak %95 derlenme görülmeden yapılacak her ekstübasyon girişimi, hastayı doğrudan postoperatif mekanik ventilasyon ihtiyacına sürükler.</w:t>
      </w:r>
    </w:p>
    <w:p w14:paraId="7BB2C7D5" w14:textId="41DA223A" w:rsidR="005C28FF" w:rsidRPr="005C28FF" w:rsidRDefault="005C28FF" w:rsidP="00603EF6">
      <w:pPr>
        <w:spacing w:line="360" w:lineRule="auto" w:after="0" w:before="0"/>
        <w:ind w:left="0" w:firstLine="0" w:right="0"/>
        <w:jc w:val="both"/>
        <w:rPr>
          <w:lang/>
        </w:rPr>
      </w:pPr>
      <w:r w:rsidRPr="005C28FF">
        <w:rPr>
          <w:rFonts w:ascii="Times New Roman" w:hAnsi="Times New Roman" w:cs="Times New Roman" w:eastAsia="Times New Roman"/>
          <w:b w:val="0"/>
          <w:bCs/>
          <w:i w:val="0"/>
          <w:sz w:val="22"/>
          <w:u w:val="none"/>
          <w:lang/>
        </w:rPr>
        <w:t xml:space="preserve">Thilen, S. R., Weigel, W. A., Todd, M. M., et al. (2023). 2023 American Society of Anesthesiologists Practice Guidelines for Monitoring and Antagonism of Neuromuscular Blockade: A Report by the American Society of Anesthesiologists Task Force on Neuromuscular Blockade. Anesthesiology, 138(1), 13-41. </w:t>
      </w:r>
    </w:p>
    <w:p w14:paraId="14A93FE0" w14:textId="685FEF49" w:rsidR="005C28FF" w:rsidRPr="005C28FF" w:rsidRDefault="005C28FF" w:rsidP="00603EF6">
      <w:pPr>
        <w:spacing w:line="360" w:lineRule="auto" w:after="0" w:before="0"/>
        <w:ind w:left="0" w:firstLine="0" w:right="0"/>
        <w:jc w:val="both"/>
        <w:rPr>
          <w:lang/>
        </w:rPr>
      </w:pPr>
      <w:r w:rsidRPr="005C28FF">
        <w:rPr>
          <w:rFonts w:ascii="Times New Roman" w:hAnsi="Times New Roman" w:cs="Times New Roman" w:eastAsia="Times New Roman"/>
          <w:b w:val="0"/>
          <w:bCs/>
          <w:i w:val="0"/>
          <w:sz w:val="22"/>
          <w:u w:val="none"/>
          <w:lang/>
        </w:rPr>
        <w:t>Blichfeldt-Lauridsen, L., &amp; Hansen, B. D. (2012). Anesthesia and myasthenia gravis. Acta Anaesthesiologica Scandinavica, 56(10), 1215-1225</w:t>
      </w:r>
    </w:p>
    <w:p w14:paraId="3C0433D7" w14:textId="436BAE71" w:rsidR="005C28FF" w:rsidRPr="005C28FF" w:rsidRDefault="005C28FF" w:rsidP="00603EF6">
      <w:pPr>
        <w:spacing w:line="360" w:lineRule="auto" w:after="0" w:before="0"/>
        <w:ind w:left="0" w:firstLine="0" w:right="0"/>
        <w:jc w:val="both"/>
        <w:rPr>
          <w:lang/>
        </w:rPr>
      </w:pPr>
      <w:r w:rsidRPr="005C28FF">
        <w:rPr>
          <w:rFonts w:ascii="Times New Roman" w:hAnsi="Times New Roman" w:cs="Times New Roman" w:eastAsia="Times New Roman"/>
          <w:b w:val="0"/>
          <w:bCs/>
          <w:i w:val="0"/>
          <w:sz w:val="22"/>
          <w:u w:val="none"/>
          <w:lang/>
        </w:rPr>
        <w:t xml:space="preserve">Miller's Anesthesia (9th Edition, 2020) - Chapter 44: Neuromuscular Monitoring. </w:t>
      </w:r>
    </w:p>
    <w:p w14:paraId="0845932E" w14:textId="1510069C" w:rsidR="005C28FF" w:rsidRPr="005C28FF" w:rsidRDefault="005C28FF" w:rsidP="00603EF6">
      <w:pPr>
        <w:spacing w:line="360" w:lineRule="auto" w:after="0" w:before="0"/>
        <w:ind w:left="0" w:firstLine="0" w:right="0"/>
        <w:jc w:val="both"/>
        <w:rPr>
          <w:lang/>
        </w:rPr>
      </w:pPr>
      <w:r w:rsidRPr="005C28FF">
        <w:rPr>
          <w:rFonts w:ascii="Times New Roman" w:hAnsi="Times New Roman" w:cs="Times New Roman" w:eastAsia="Times New Roman"/>
          <w:b w:val="0"/>
          <w:bCs/>
          <w:i w:val="0"/>
          <w:sz w:val="22"/>
          <w:u w:val="none"/>
          <w:lang/>
        </w:rPr>
        <w:t>Brull, S. J., &amp; Kopman, A. F. (2017). Current status of neuromuscular monitoring. Current Opinion in Anaesthesiology, 30(6), 633-640</w:t>
      </w:r>
    </w:p>
    <w:p w14:paraId="4086E401" w14:textId="77777777" w:rsidR="005B11BA" w:rsidRPr="006F75B5" w:rsidRDefault="005B11BA" w:rsidP="005B11BA">
      <w:pPr>
        <w:spacing w:after="120" w:line="360" w:lineRule="auto" w:before="0"/>
        <w:ind w:firstLine="0" w:left="0" w:right="0"/>
        <w:jc w:val="left"/>
        <w:rPr>
          <w:lang/>
        </w:rPr>
      </w:pPr>
      <w:r w:rsidRPr="006F75B5">
        <w:rPr>
          <w:rFonts w:ascii="Times New Roman" w:hAnsi="Times New Roman" w:cs="Times New Roman" w:eastAsia="Times New Roman"/>
          <w:b/>
          <w:bCs/>
          <w:i w:val="0"/>
          <w:sz w:val="28"/>
          <w:u w:val="none"/>
          <w:lang/>
        </w:rPr>
        <w:t>III. GERİ DÖNDÜRME, EKSTÜBASYON VE POSTOPERATİF BAKIM</w:t>
      </w:r>
    </w:p>
    <w:p w14:paraId="11E5DC13" w14:textId="77777777" w:rsidR="005B11BA" w:rsidRPr="005B11BA" w:rsidRDefault="005B11BA" w:rsidP="005B11BA">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10 (Nöromüsküler Blokajın Antagonizması): İntraoperatif dönemde roküronyum kullanıldığı varsayıldığında, cerrahi bitiminde blokajın antagonize edilmesinde geleneksel ajanlar (neostigmin/glikopirolat) ile sugammadeks kullanımı arasındaki temel farmakolojik farklar nelerdir? Sugammadeks kullanımının "fast-track" (erken ekstübasyon) protokollerindeki yeri nedir?</w:t>
      </w:r>
    </w:p>
    <w:p w14:paraId="6AF9065D" w14:textId="16ECB878"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Myastenia Gravis (MG) cerrahisinde (özellikle timektomi operasyonlarında), intraoperatif nöromüsküler monitörizasyon kadar kritik olan bir diğer aşama, uygulanan blokajın güvenli, hızlı ve eksiksiz bir şekilde geri döndürülmesidir.</w:t>
      </w:r>
    </w:p>
    <w:p w14:paraId="6E761AFD" w14:textId="77777777"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Geleneksel ajanlar ile sugammadeksin farmakolojik etki mekanizmaları arasındaki farklar, MG hastalarının zaten patolojik olan nöromüsküler kavşak dinamiğinde hayati sonuçlar doğurur. Bu iki yaklaşımın farmakolojik profillerini ve "fast-track" protokollerindeki yerini akademik bir perspektifle inceleyelim:</w:t>
      </w:r>
    </w:p>
    <w:p w14:paraId="43F649D4" w14:textId="77777777" w:rsidR="00CB26DD" w:rsidRPr="00CB26DD" w:rsidRDefault="00CB26DD" w:rsidP="00166D87">
      <w:pPr>
        <w:spacing w:line="360" w:lineRule="auto" w:after="0" w:before="0"/>
        <w:ind w:firstLine="0" w:left="0" w:right="0"/>
        <w:jc w:val="both"/>
        <w:rPr>
          <w:b/>
          <w:bCs/>
          <w:lang/>
        </w:rPr>
      </w:pPr>
      <w:r w:rsidRPr="00CB26DD">
        <w:rPr>
          <w:rFonts w:ascii="Times New Roman" w:hAnsi="Times New Roman" w:cs="Times New Roman" w:eastAsia="Times New Roman"/>
          <w:b w:val="0"/>
          <w:bCs/>
          <w:i w:val="0"/>
          <w:sz w:val="22"/>
          <w:u w:val="none"/>
          <w:lang/>
        </w:rPr>
        <w:t>1. Geleneksel Antagonizma (Neostigmin / Glikopirolat) ve MG'deki Çıkmazları</w:t>
      </w:r>
    </w:p>
    <w:p w14:paraId="5A7B35D6" w14:textId="77777777"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Neostigmin, bir asetilkolinesteraz (AChE) inhibitörüdür. Nöromüsküler kavşakta asetilkolini yıkan enzimi bloke ederek, sinaptik aralıktaki asetilkolin (ACh) konsantrasyonunu artırır. Artan ACh, roküronyum ile kompetitif (rekabetçi) bir yarışa girerek reseptörleri geri kazanmaya çalışır.</w:t>
      </w:r>
    </w:p>
    <w:p w14:paraId="43CD3B31" w14:textId="77777777"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Bu dolaylı mekanizmanın MG hastalarında yarattığı ciddi farmakodinamik riskler şunlardır:</w:t>
      </w:r>
    </w:p>
    <w:p w14:paraId="3364A895"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Tavan Etkisi (Ceiling Effect): Neostigmin sadece sinaptik aralıktaki ACh miktarını artırabilir. Ancak MG hastalarında postsinaptik reseptör sayısı otoimmün yıkım nedeniyle zaten %70-80 oranında azalmıştır. Derin bir blokaj varlığında, neostigmin tüm enzim aktivitesini inhibe etse bile üretilen ACh miktarı bloğu kırmaya yetmeyebilir.</w:t>
      </w:r>
    </w:p>
    <w:p w14:paraId="37A4378B" w14:textId="2C082966"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Kolinerjik Kriz Riski: Çoğu MG hastası preoperatif dönemde zaten bir AChE inhibitörü olan piridostigmin kullanmaktadır. Cerrahinin sonunda neostigmin eklenmesi, kümülatif enzim inhibisyonuna yol açarak "Kolinerjik Kriz" riskini tetikler (aşırı sekresyon, ciddi bradikardi, bronkospazm ve kaslarda fasikülasyonları takiben gelişen paradoksal paralizi).</w:t>
      </w:r>
    </w:p>
    <w:p w14:paraId="31F39A0D"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Muskarinik Yan Etkiler ve Antikolinerjik İhtiyacı: Neostigminin muskarinik yan etkilerini (bradikardi, sekresyon artışı) önlemek için mutlaka Glikopirolat veya Atropin ile kombine edilmesi gerekir. Ancak bu ajanların neden olduğu sekresyon koyulaşması, postoperatif dönemde solunum kasları zaten zayıf olan MG hastasında atelektazi ve pnömoni riskini artırır.</w:t>
      </w:r>
    </w:p>
    <w:p w14:paraId="6969B44B"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Paradoksal Zayıflık: TOF oranı 0.90'a yaklaşmış (kendi kendine derlenmiş) bir hastaya neostigmin verilmesi, reseptörleri aşırı ACh bombardımanına tutarak "depolarizan blok" benzeri bir etkiyle kas gücünde paradoksal bir azalmaya neden olabilir.</w:t>
      </w:r>
    </w:p>
    <w:p w14:paraId="17369DB4" w14:textId="77777777" w:rsidR="00CB26DD" w:rsidRPr="00CB26DD" w:rsidRDefault="00CB26DD" w:rsidP="00166D87">
      <w:pPr>
        <w:spacing w:line="360" w:lineRule="auto" w:after="0" w:before="0"/>
        <w:ind w:firstLine="0" w:left="0" w:right="0"/>
        <w:jc w:val="both"/>
        <w:rPr>
          <w:b/>
          <w:bCs/>
          <w:lang/>
        </w:rPr>
      </w:pPr>
      <w:r w:rsidRPr="00CB26DD">
        <w:rPr>
          <w:rFonts w:ascii="Times New Roman" w:hAnsi="Times New Roman" w:cs="Times New Roman" w:eastAsia="Times New Roman"/>
          <w:b w:val="0"/>
          <w:bCs/>
          <w:i w:val="0"/>
          <w:sz w:val="22"/>
          <w:u w:val="none"/>
          <w:lang/>
        </w:rPr>
        <w:t>2. Sugammadeks (Selektif Rölaksan Bağlayıcı Ajan - SRBA)</w:t>
      </w:r>
    </w:p>
    <w:p w14:paraId="254CD0EB" w14:textId="77777777"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Sugammadeks, yapısal olarak modifiye edilmiş bir γ-siklodekstrin molekülüdür. Etki mekanizması, geleneksel ajanlardan tamamen farklıdır ve nöromüsküler kavşaktaki reseptörlerle veya asetilkolin döngüsüyle hiçbir etkileşime girmez.</w:t>
      </w:r>
    </w:p>
    <w:p w14:paraId="0EF788A3"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Doğrudan Enkapsülasyon (Şelasyon): Sugammadeks, plazmada serbest dolaşan steroidal nöromüsküler blokerleri (roküronyum veya veküronyum) 1:1 oranında, yüksek bir afiniteyle moleküler boşluğunun içine hapseder (enkapsülasyon).</w:t>
      </w:r>
    </w:p>
    <w:p w14:paraId="494190B5"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Konsantrasyon Gradyanı ile Temizleme: Plazmadaki serbest roküronyum molekülleri hapsedildiğinde, plazma roküronyum konsantrasyonu hızla sıfıra iner. Bu durum devasa bir konsantrasyon gradyanı yaratarak, nöromüsküler kavşaktaki (reseptörlere bağlı olan) roküronyum moleküllerinin hızla plazmaya çekilmesini ve burada da sugammadeks tarafından hapsedilmesini sağlar.</w:t>
      </w:r>
    </w:p>
    <w:p w14:paraId="73595222"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MG'deki Avantajı: Reseptör düzeyinde bir rekabet gerektirmediği için, hastanın postsinaptik asetilkolin reseptör sayısının azalmış olması (MG patofizyolojisi) sugammadeksin etkinliğini hiçbir şekilde etkilemez. Kolinerjik sisteme dokunmadığı için otonomik yan etkileri (bradikardi, sekresyon artışı) ve kolinerjik kriz riski yoktur.</w:t>
      </w:r>
    </w:p>
    <w:p w14:paraId="44B0CF26" w14:textId="77777777" w:rsidR="00CB26DD" w:rsidRPr="00CB26DD" w:rsidRDefault="00CB26DD" w:rsidP="00166D87">
      <w:pPr>
        <w:spacing w:line="360" w:lineRule="auto" w:after="0" w:before="0"/>
        <w:ind w:firstLine="0" w:left="0" w:right="0"/>
        <w:jc w:val="both"/>
        <w:rPr>
          <w:b/>
          <w:bCs/>
          <w:lang/>
        </w:rPr>
      </w:pPr>
      <w:r w:rsidRPr="00CB26DD">
        <w:rPr>
          <w:rFonts w:ascii="Times New Roman" w:hAnsi="Times New Roman" w:cs="Times New Roman" w:eastAsia="Times New Roman"/>
          <w:b w:val="0"/>
          <w:bCs/>
          <w:i w:val="0"/>
          <w:sz w:val="22"/>
          <w:u w:val="none"/>
          <w:lang/>
        </w:rPr>
        <w:t>3. "Fast-Track" (Erken Ekstübasyon) Protokollerinde Sugammadeksin Yeri</w:t>
      </w:r>
    </w:p>
    <w:p w14:paraId="4E07B4C1" w14:textId="77777777"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Tarihsel süreçte, timektomi geçiren MG hastaları cerrahi sonrası rutin olarak entübe halde Yoğun Bakım Ünitesi'ne (YBÜ) alınır ve saatler/günler sonra ekstübe edilirdi. ERAS (Enhanced Recovery After Surgery) ve "fast-track" anestezi konseptlerinin gelişimiyle bu paradigma değişmiştir.</w:t>
      </w:r>
    </w:p>
    <w:p w14:paraId="18AE22B0"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Ameliyathanede Ekstübasyon (On-table Extubation): Sugammadeks, derin blokaj durumunda dahi doz bağımlı olarak (2-16 mg/kg) 1.5 - 3 dakika içinde TOF oranını ≥0.90 (hatta &gt;0.95) seviyesine çıkarır. Bu mutlak ve hızlı geri dönüş, MG hastalarının ameliyat masasında güvenle ekstübe edilmesinin en önemli farmakolojik anahtarıdır.</w:t>
      </w:r>
    </w:p>
    <w:p w14:paraId="6B7573DB"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YBÜ İhtiyacının Azalması: Hızlı ve tam derlenme, postoperatif solunum yetmezliği riskini elimine eder. Bu sayede seçilmiş MG hastaları YBÜ yerine doğrudan Post-Anestezi Bakım Ünitesi'ne (PACU) veya servise yönlendirilebilir.</w:t>
      </w:r>
    </w:p>
    <w:p w14:paraId="13EA8210" w14:textId="77777777" w:rsidR="00CB26DD" w:rsidRPr="00CB26DD" w:rsidRDefault="00CB26DD" w:rsidP="002B677C">
      <w:pPr>
        <w:spacing w:line="360" w:lineRule="auto" w:after="0" w:before="0"/>
        <w:ind w:firstLine="0" w:left="0" w:right="0"/>
        <w:jc w:val="both"/>
        <w:rPr>
          <w:lang/>
        </w:rPr>
      </w:pPr>
      <w:r w:rsidRPr="00CB26DD">
        <w:rPr>
          <w:rFonts w:ascii="Times New Roman" w:hAnsi="Times New Roman" w:cs="Times New Roman" w:eastAsia="Times New Roman"/>
          <w:b w:val="0"/>
          <w:bCs/>
          <w:i w:val="0"/>
          <w:sz w:val="22"/>
          <w:u w:val="none"/>
          <w:lang/>
        </w:rPr>
        <w:t>Rezidüel Blok Eliminasyonu: Neostigmin ile sıkça karşılaşılan "geç dönem rezidüel kürarizasyon (RNMB)" riski sugammadeks ile neredeyse sıfıra iner. Farengeal kas fonksiyonları hızla geri döner, aspirasyon ve pnömoni insidansı azalır.</w:t>
      </w:r>
    </w:p>
    <w:p w14:paraId="268C49B3" w14:textId="77777777" w:rsidR="00CB26DD" w:rsidRPr="00CB26DD" w:rsidRDefault="00CB26DD" w:rsidP="00166D87">
      <w:pPr>
        <w:spacing w:line="360" w:lineRule="auto" w:after="0" w:before="0"/>
        <w:ind w:firstLine="0" w:left="0" w:right="0"/>
        <w:jc w:val="both"/>
        <w:rPr>
          <w:b/>
          <w:bCs/>
          <w:lang/>
        </w:rPr>
      </w:pPr>
      <w:r w:rsidRPr="00CB26DD">
        <w:rPr>
          <w:rFonts w:ascii="Times New Roman" w:hAnsi="Times New Roman" w:cs="Times New Roman" w:eastAsia="Times New Roman"/>
          <w:b w:val="0"/>
          <w:bCs/>
          <w:i w:val="0"/>
          <w:sz w:val="22"/>
          <w:u w:val="none"/>
          <w:lang/>
        </w:rPr>
        <w:t>Farmakolojik Profil Karşılaştırması</w:t>
      </w:r>
    </w:p>
    <w:p w14:paraId="001F38DA" w14:textId="5162CAE3" w:rsidR="00CB26DD" w:rsidRPr="00CB26DD" w:rsidRDefault="00CB26DD" w:rsidP="00166D87">
      <w:pPr>
        <w:spacing w:line="360" w:lineRule="auto" w:after="0" w:before="0"/>
        <w:ind w:firstLine="0" w:left="0" w:right="0"/>
        <w:jc w:val="both"/>
        <w:rPr>
          <w:lang/>
        </w:rPr>
      </w:pPr>
      <w:r w:rsidRPr="00CB26DD">
        <w:rPr>
          <w:rFonts w:ascii="Times New Roman" w:hAnsi="Times New Roman" w:cs="Times New Roman" w:eastAsia="Times New Roman"/>
          <w:b w:val="0"/>
          <w:i w:val="0"/>
          <w:sz w:val="22"/>
          <w:u w:val="none"/>
          <w:lang/>
        </w:rPr>
        <w:t>Myastenia Gravis hastalarında roküronyum ile sağlanan nöromüsküler blokajın geri döndürülmesinde sugammadeks, neostigmine kıyasla dramatik bir farmakolojik üstünlüğe sahiptir. Nöromüsküler kavşağın patofizyolojisini by-pass eden etki mekanizması sayesinde kolinerjik kriz riskini ortadan kaldırır ve fast-track timektomi protokollerinin güvenle uygulanabilmesine olanak tanıyan birinci basamak konumuna gelmiştir.</w:t>
      </w:r>
    </w:p>
    <w:p w14:paraId="22A1BF79" w14:textId="03D94794" w:rsidR="00CB26DD" w:rsidRPr="00CB26DD" w:rsidRDefault="00CB26DD" w:rsidP="00166D87">
      <w:pPr>
        <w:spacing w:line="360" w:lineRule="auto" w:after="0" w:before="0"/>
        <w:ind w:left="0" w:firstLine="0" w:right="0"/>
        <w:jc w:val="both"/>
        <w:rPr>
          <w:lang/>
        </w:rPr>
      </w:pPr>
      <w:r w:rsidRPr="00CB26DD">
        <w:rPr>
          <w:rFonts w:ascii="Times New Roman" w:hAnsi="Times New Roman" w:cs="Times New Roman" w:eastAsia="Times New Roman"/>
          <w:b w:val="0"/>
          <w:bCs/>
          <w:i w:val="0"/>
          <w:sz w:val="22"/>
          <w:u w:val="none"/>
          <w:lang/>
        </w:rPr>
        <w:t xml:space="preserve">Fuchs-Buder, T., Romero, C. S., Lewald, H., et al. (ESAIC Task Force). (2023). European Society of Anaesthesiology and Intensive Care Guidelines on peri-operative management of neuromuscular blockade.European Journal of Anaesthesiology, 40(2), 82-94. </w:t>
      </w:r>
    </w:p>
    <w:p w14:paraId="323B3C2E" w14:textId="419BBC20" w:rsidR="00CB26DD" w:rsidRPr="00CB26DD" w:rsidRDefault="00CB26DD" w:rsidP="00166D87">
      <w:pPr>
        <w:spacing w:line="360" w:lineRule="auto" w:after="0" w:before="0"/>
        <w:ind w:left="0" w:firstLine="0" w:right="0"/>
        <w:jc w:val="both"/>
        <w:rPr>
          <w:lang/>
        </w:rPr>
      </w:pPr>
      <w:r w:rsidRPr="00CB26DD">
        <w:rPr>
          <w:rFonts w:ascii="Times New Roman" w:hAnsi="Times New Roman" w:cs="Times New Roman" w:eastAsia="Times New Roman"/>
          <w:b w:val="0"/>
          <w:bCs/>
          <w:i w:val="0"/>
          <w:sz w:val="22"/>
          <w:u w:val="none"/>
          <w:lang/>
        </w:rPr>
        <w:t xml:space="preserve">Kiss, G., &amp; Máté, E. (2015). Neuromuscular blocking agents in myasthenia gravis. Focus on the role of sugammadex. Minerva Anestesiologica, 81(5), 543-552. </w:t>
      </w:r>
    </w:p>
    <w:p w14:paraId="25808588" w14:textId="0E8CFCC8" w:rsidR="00CB26DD" w:rsidRPr="00CB26DD" w:rsidRDefault="00CB26DD" w:rsidP="00166D87">
      <w:pPr>
        <w:spacing w:line="360" w:lineRule="auto" w:after="0" w:before="0"/>
        <w:ind w:left="0" w:firstLine="0" w:right="0"/>
        <w:jc w:val="both"/>
        <w:rPr>
          <w:lang/>
        </w:rPr>
      </w:pPr>
      <w:r w:rsidRPr="00CB26DD">
        <w:rPr>
          <w:rFonts w:ascii="Times New Roman" w:hAnsi="Times New Roman" w:cs="Times New Roman" w:eastAsia="Times New Roman"/>
          <w:b w:val="0"/>
          <w:bCs/>
          <w:i w:val="0"/>
          <w:sz w:val="22"/>
          <w:u w:val="none"/>
          <w:lang/>
        </w:rPr>
        <w:t xml:space="preserve">Sungur, U. Z., &amp; Şentürk, M. (2019). Anesthesia for Thymectomy in Myasthenia Gravis. Thoracic Surgery Clinics, 29(2), 173-181. </w:t>
      </w:r>
    </w:p>
    <w:p w14:paraId="4E8F7D8F" w14:textId="51CA4060" w:rsidR="00CB26DD" w:rsidRPr="00CB26DD" w:rsidRDefault="00CB26DD" w:rsidP="00166D87">
      <w:pPr>
        <w:spacing w:line="360" w:lineRule="auto" w:after="0" w:before="0"/>
        <w:ind w:left="0" w:firstLine="0" w:right="0"/>
        <w:jc w:val="both"/>
        <w:rPr>
          <w:lang/>
        </w:rPr>
      </w:pPr>
      <w:r w:rsidRPr="00CB26DD">
        <w:rPr>
          <w:rFonts w:ascii="Times New Roman" w:hAnsi="Times New Roman" w:cs="Times New Roman" w:eastAsia="Times New Roman"/>
          <w:b w:val="0"/>
          <w:bCs/>
          <w:i w:val="0"/>
          <w:sz w:val="22"/>
          <w:u w:val="none"/>
          <w:lang/>
        </w:rPr>
        <w:t>Bjerregaard, L. S., et al. (2020). Sugammadex vs. Neostigmine for reversal of neuromuscular blockade in patients with Myasthenia Gravis: A retrospective cohort study. Acta Anaesthesiologica Scandinavica</w:t>
      </w:r>
    </w:p>
    <w:p w14:paraId="63F84CBD" w14:textId="77777777" w:rsidR="00D12150" w:rsidRPr="00D12150" w:rsidRDefault="00D12150" w:rsidP="00D12150">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11 (Ekstübasyon Kriterleri): MG hastalarında TOF oranının &gt;0,9 olması güvenli ekstübasyon için tek başına yeterli midir? Beş saniyelik baş kaldırma testi, inspiratuar negatif basınç ölçümü ve vital kapasitenin &gt;15 ml/kg olması gibi ek klinik kriterlerin önemi nedir?</w:t>
      </w:r>
    </w:p>
    <w:p w14:paraId="4AA97381"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Myastenia Gravis (MG) hastalarında ekstübasyon kararı, anestezi pratiğinin en yüksek riskli basamaklarından biridir. Sorunuzun temelinde yatan en kritik ayrım şudur: TOF oranı sadece "farmakolojik derlenmeyi" (nöromüsküler bloker etkisinin yokluğunu) gösterir; ancak "hastalığa bağlı nöromüsküler iletim kapasitesini" (myastenik güçsüzlüğün olmamasını) garanti etmez.</w:t>
      </w:r>
    </w:p>
    <w:p w14:paraId="61C0F0AE"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MG hastasında solunum kaslarının gücünü ve hava yolu açıklığını etkileyen iki ayrı patolojik süreç vardır: 1. İlaç kaynaklı rezidüel blok (RNMB) ve 2. Hastalığın kendisine bağlı nöromüsküler iletim bozukluğu. Kantitatif TOF, sadece birinci faktörü ekarte eder; ikinci faktörü (hastalık yükünü) değerlendirmek için klinik parametreler zorunludur.</w:t>
      </w:r>
    </w:p>
    <w:p w14:paraId="41DE34BA"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1. Neden TOF &gt; 0.9 Tek Başına Yeterli Değildir?</w:t>
      </w:r>
    </w:p>
    <w:p w14:paraId="0499A488"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Kantitatif TOF (özellikle ≥0.90 veya 0.95), non-depolarizan ajanların (örn. roküronyum) nikotinik reseptörlerden tamamen ayrıldığını kanıtlar. Ancak bir MG hastasında:</w:t>
      </w:r>
    </w:p>
    <w:p w14:paraId="1549AA89"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Reseptör Dinamiği: İlaç vücuttan atılsa bile, MG hastasının postsinaptik membranı, kendi otoantikorları nedeniyle fonksiyonel asetilkolin reseptörü (nAChR) sayısında %70-80 oranında azalma ile karşı karşıyadır.</w:t>
      </w:r>
    </w:p>
    <w:p w14:paraId="461FF4EE"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Hastalık Alevlenmesi: Cerrahi stres, anestezi ajanları veya intraoperatif hipotermi, hastanın bazal myastenik durumunu akut olarak kötüleştirmiş olabilir. Hasta farmakolojik olarak "bloker etkisinden kurtulmuş" olsa da, MG hastalığı "kriz" veya "zayıflık" tablosunda olabilir.</w:t>
      </w:r>
    </w:p>
    <w:p w14:paraId="530419EA"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Santral Depresyon: TOF, periferal kasılmayı ölçer ancak santral solunum sürücüsünün (anesteziklerin etkisiyle) veya bulbar kasların (hastalık etkisiyle) durumunu yansıtmaz.</w:t>
      </w:r>
    </w:p>
    <w:p w14:paraId="5F62FC79"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Bu nedenle, TOF sadece "İlaç etkisi geçti" der; "Hasta nefes alabilir ve hava yolunu koruyabilir" demez.</w:t>
      </w:r>
    </w:p>
    <w:p w14:paraId="737C9F52"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2. Kritik Klinik Parametrelerin Fizyopatolojik Önemi</w:t>
      </w:r>
    </w:p>
    <w:p w14:paraId="0EF9062D"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MG hastasında "ekstübasyon hazırlığı", bir "yetenek testi" bataryasıdır. Ek klinik kriterlerin önemi şöyledir:</w:t>
      </w:r>
    </w:p>
    <w:p w14:paraId="026EA9B8"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A. Beş Saniyelik Baş Kaldırma (Sustained Head Lift) Testi</w:t>
      </w:r>
    </w:p>
    <w:p w14:paraId="6A71A240"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Fizyopatolojik Anlamı: Bu test, hem boyun fleksör kaslarının hem de üst hava yolu kaslarının (farengeal/larengeal) gücünü yansıtır.</w:t>
      </w:r>
    </w:p>
    <w:p w14:paraId="246A6A1D"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Önemi: MG'de bulbar tutulum (yutma ve hava yolu koruma güçlüğü) genellikle periferik kaslardan önce kendini belli eder. Hasta başını 5 saniye yukarıda tutamıyorsa, ekstübasyon sonrası yutkunma refleksi zayıf kalacak ve mikro-aspirasyon (akciğere sıvı kaçması) riski %90'ın üzerinde olacaktır.</w:t>
      </w:r>
    </w:p>
    <w:p w14:paraId="2175A47E"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B. İnspiratuar Negatif Basınç (NIF / MIP) Ölçümü</w:t>
      </w:r>
    </w:p>
    <w:p w14:paraId="393433F7"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Fizyopatolojik Anlamı: Hasta, kapalı bir devreye karşı soluk almaya çalıştığında oluşan negatif basıncı ölçer. Normalde &lt;−40 cmH2​O beklenir.</w:t>
      </w:r>
    </w:p>
    <w:p w14:paraId="22BA5B6E"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Önemi: Diafragma ve interkostal kasların mekanik rezervini gösterir. NIF değeri &gt;−20 cmH2​O (yani daha az negatif) ise, bu hasta spontan solunum yükünü sürdüremez; mekanik yorgunluğa girer.</w:t>
      </w:r>
    </w:p>
    <w:p w14:paraId="6252567D"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C. Vital Kapasite (VC) &gt; 15-20 ml/kg</w:t>
      </w:r>
    </w:p>
    <w:p w14:paraId="0BCCD6D9"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Fizyopatolojik Anlamı: Akciğerlerin tam kapasiteyle şişip boşalabilme hacmidir.</w:t>
      </w:r>
    </w:p>
    <w:p w14:paraId="4C5B09B7"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Önemi: Etkin bir öksürük mekanizması için en az 15 ml/kg değerinde bir volüme ihtiyaç vardır. MG hastasında sekresyonları temizleyememek, hızla atelektaziye ve postoperatif pnömoniye yol açar. VC 15 ml/kg'ın altında ise, hasta "derin nefes alamaz", bu da pasif atelektaziye davetiye çıkarır.</w:t>
      </w:r>
    </w:p>
    <w:p w14:paraId="5B9084E0" w14:textId="77777777" w:rsidR="00D1797B" w:rsidRPr="00D1797B" w:rsidRDefault="00D1797B" w:rsidP="00D1797B">
      <w:pPr>
        <w:spacing w:line="360" w:lineRule="auto" w:after="0" w:before="0"/>
        <w:ind w:firstLine="0" w:left="0" w:right="0"/>
        <w:jc w:val="both"/>
        <w:rPr>
          <w:b/>
          <w:bCs/>
          <w:lang/>
        </w:rPr>
      </w:pPr>
      <w:r w:rsidRPr="00D1797B">
        <w:rPr>
          <w:rFonts w:ascii="Times New Roman" w:hAnsi="Times New Roman" w:cs="Times New Roman" w:eastAsia="Times New Roman"/>
          <w:b w:val="0"/>
          <w:bCs/>
          <w:i w:val="0"/>
          <w:sz w:val="22"/>
          <w:u w:val="none"/>
          <w:lang/>
        </w:rPr>
        <w:t>3. Entegre Ekstübasyon Algoritması</w:t>
      </w:r>
    </w:p>
    <w:p w14:paraId="52466595"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i w:val="0"/>
          <w:sz w:val="22"/>
          <w:u w:val="none"/>
          <w:lang/>
        </w:rPr>
        <w:t>MG hastasında ekstübasyon kararı için "Tüm sütunlar yeşil olmalı" prensibi uygulanmalıdır:</w:t>
      </w:r>
    </w:p>
    <w:p w14:paraId="71B3E7A8"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Farmakolojik Kontrol: Kantitatif TOF &gt;0.95 (İlaç etkisi yok).</w:t>
      </w:r>
    </w:p>
    <w:p w14:paraId="1DCB12C4"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Mekanik Rezerv: VC &gt;15−20 ml/kg ve NIF &lt;−20 cmH2​O (Solunum gücü yeterli).</w:t>
      </w:r>
    </w:p>
    <w:p w14:paraId="129BB0EA"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Hava Yolu Koruma: 5 saniye baş kaldırma ve yutkunma refleksi aktif (Bulbar fonksiyonlar sağlam).</w:t>
      </w:r>
    </w:p>
    <w:p w14:paraId="79DEADF6" w14:textId="77777777" w:rsidR="00D1797B" w:rsidRPr="00D1797B" w:rsidRDefault="00D1797B" w:rsidP="002B677C">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Metabolik/Klinik Stabilite: Asidoz yok, hipotermi yok, hemodinamik stabilite mevcut.</w:t>
      </w:r>
    </w:p>
    <w:p w14:paraId="6EC4B5F8" w14:textId="77777777" w:rsidR="00D1797B" w:rsidRPr="00D1797B" w:rsidRDefault="00D1797B" w:rsidP="00D1797B">
      <w:pPr>
        <w:spacing w:line="360" w:lineRule="auto" w:after="0" w:before="0"/>
        <w:ind w:firstLine="0" w:left="0" w:right="0"/>
        <w:jc w:val="both"/>
        <w:rPr>
          <w:lang/>
        </w:rPr>
      </w:pPr>
      <w:r w:rsidRPr="00D1797B">
        <w:rPr>
          <w:rFonts w:ascii="Times New Roman" w:hAnsi="Times New Roman" w:cs="Times New Roman" w:eastAsia="Times New Roman"/>
          <w:b w:val="0"/>
          <w:bCs/>
          <w:i w:val="0"/>
          <w:sz w:val="22"/>
          <w:u w:val="none"/>
          <w:lang/>
        </w:rPr>
        <w:t>Klinik Özet: MG hastasında TOF monitörizasyonu "gerekli bir başlangıç"tır; ancak klinik testler "yeterli olan bitiş"tir. Eğer TOF &gt;0.95 olmasına rağmen hasta 5 saniye başını kaldıramıyorsa, bu ilaç etkisi değil, myastenik zayıflıktır. Bu durumda ekstübasyon ertelenmeli veya hasta yoğun bakımda non-invaziv mekanik ventilasyon (NIV) destekli izlenmelidir.</w:t>
      </w:r>
    </w:p>
    <w:p w14:paraId="27CF4054" w14:textId="0E708CC0" w:rsidR="00D1797B" w:rsidRPr="00D1797B" w:rsidRDefault="00D1797B" w:rsidP="00D1797B">
      <w:pPr>
        <w:spacing w:line="360" w:lineRule="auto" w:after="0" w:before="0"/>
        <w:ind w:left="0" w:firstLine="0" w:right="0"/>
        <w:jc w:val="both"/>
        <w:rPr>
          <w:lang/>
        </w:rPr>
      </w:pPr>
      <w:r w:rsidRPr="00D1797B">
        <w:rPr>
          <w:rFonts w:ascii="Times New Roman" w:hAnsi="Times New Roman" w:cs="Times New Roman" w:eastAsia="Times New Roman"/>
          <w:b w:val="0"/>
          <w:bCs/>
          <w:i w:val="0"/>
          <w:sz w:val="22"/>
          <w:u w:val="none"/>
          <w:lang/>
        </w:rPr>
        <w:t xml:space="preserve">Sanders, D. B., et al. (2016). International consensus guidance for management of myasthenia gravis. Neurology, 87(4), 419-425. </w:t>
      </w:r>
    </w:p>
    <w:p w14:paraId="54E3A497" w14:textId="0ED461F8" w:rsidR="00D1797B" w:rsidRPr="00D1797B" w:rsidRDefault="00D1797B" w:rsidP="00D1797B">
      <w:pPr>
        <w:spacing w:line="360" w:lineRule="auto" w:after="0" w:before="0"/>
        <w:ind w:left="0" w:firstLine="0" w:right="0"/>
        <w:jc w:val="both"/>
        <w:rPr>
          <w:lang/>
        </w:rPr>
      </w:pPr>
      <w:r w:rsidRPr="00D1797B">
        <w:rPr>
          <w:rFonts w:ascii="Times New Roman" w:hAnsi="Times New Roman" w:cs="Times New Roman" w:eastAsia="Times New Roman"/>
          <w:b w:val="0"/>
          <w:bCs/>
          <w:i w:val="0"/>
          <w:sz w:val="22"/>
          <w:u w:val="none"/>
          <w:lang/>
        </w:rPr>
        <w:t xml:space="preserve">Blichfeldt-Lauridsen, L., &amp; Hansen, B. D. (2012). Anesthesia and myasthenia gravis. Acta Anaesthesiologica Scandinavica, 56(10), 1215-1225. </w:t>
      </w:r>
    </w:p>
    <w:p w14:paraId="3C2E1909" w14:textId="04BF0DC3" w:rsidR="00D1797B" w:rsidRPr="00D1797B" w:rsidRDefault="00D1797B" w:rsidP="00D1797B">
      <w:pPr>
        <w:spacing w:line="360" w:lineRule="auto" w:after="0" w:before="0"/>
        <w:ind w:left="0" w:firstLine="0" w:right="0"/>
        <w:jc w:val="both"/>
        <w:rPr>
          <w:lang/>
        </w:rPr>
      </w:pPr>
      <w:r w:rsidRPr="00D1797B">
        <w:rPr>
          <w:rFonts w:ascii="Times New Roman" w:hAnsi="Times New Roman" w:cs="Times New Roman" w:eastAsia="Times New Roman"/>
          <w:b w:val="0"/>
          <w:bCs/>
          <w:i w:val="0"/>
          <w:sz w:val="22"/>
          <w:u w:val="none"/>
          <w:lang/>
        </w:rPr>
        <w:t>Miller's Anesthesia (9th Edition, 2020) - Chapter 39: Anesthesia for Patients with Neuromuscular Disease</w:t>
      </w:r>
    </w:p>
    <w:p w14:paraId="4F83427D" w14:textId="307F9AD4" w:rsidR="00D1797B" w:rsidRPr="00D1797B" w:rsidRDefault="00D1797B" w:rsidP="00D1797B">
      <w:pPr>
        <w:spacing w:line="360" w:lineRule="auto" w:after="0" w:before="0"/>
        <w:ind w:left="0" w:firstLine="0" w:right="0"/>
        <w:jc w:val="both"/>
        <w:rPr>
          <w:lang/>
        </w:rPr>
      </w:pPr>
      <w:r w:rsidRPr="00D1797B">
        <w:rPr>
          <w:rFonts w:ascii="Times New Roman" w:hAnsi="Times New Roman" w:cs="Times New Roman" w:eastAsia="Times New Roman"/>
          <w:b w:val="0"/>
          <w:bCs/>
          <w:i w:val="0"/>
          <w:sz w:val="22"/>
          <w:u w:val="none"/>
          <w:lang/>
        </w:rPr>
        <w:t>Thilen, S. R., et al. (2023). ASA Practice Guidelines for Monitoring and Antagonism of Neuromuscular Blockade</w:t>
      </w:r>
    </w:p>
    <w:p w14:paraId="28C87C4D" w14:textId="0A54F7A7" w:rsidR="00DD0BA3" w:rsidRPr="00DD0BA3" w:rsidRDefault="00DD0BA3" w:rsidP="00DD0BA3">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12 (Postoperatif Nörolojik Krizler): Postoperatif dönemde hastada solunum kaslarında progresif zayıflık, sekresyon artışı ve dispne gelişmesi durumunda; myastenik kriz ile kolinerjik kriz ayrımı klinik bulgular ve farmakolojik testler (örn. Edrofonyum/Tensilon testi) ile nasıl yapılır?</w:t>
      </w:r>
    </w:p>
    <w:p w14:paraId="1313A47C" w14:textId="77777777"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Postoperatif dönemde solunum sıkıntısı, sekresyon artışı ve kas zayıflığı geliştiren bir Myastenia Gravis (MG) hastasının takibi, anestezi ve yoğun bakım hekimleri için en zorlu klinik senaryolardan biridir. Bu tablonun arkasındaki neden Myastenik Kriz (yetersiz tedavi/hastalık alevlenmesi) veya Kolinerjik Kriz (aşırı kolinesteraz inhibitörü kullanımı)olabilir.</w:t>
      </w:r>
    </w:p>
    <w:p w14:paraId="7399F2C6" w14:textId="77777777"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Her iki kriz de benzer solunumsal yetmezlik tablosu yaratsa da, fizyopatolojileri ve tedavileri taban tabana zıttır. Bu iki tablonun ayırıcı tanısını klinik, farmakolojik ve modern pratik yaklaşımlarla ele alalım:</w:t>
      </w:r>
    </w:p>
    <w:p w14:paraId="74038BF0"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1. Fizyopatolojik Temeller</w:t>
      </w:r>
    </w:p>
    <w:p w14:paraId="471C79B0"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Myastenik Kriz: Sinaptik aralıktaki asetilkolin (ACh) miktarının veya fonksiyonel postsinaptik nAChR (nikotinik asetilkolin reseptör) sayısının, sinapsı uyaracak ve kas kasılmasını başlatacak kritik eşiğin altına düşmesidurumudur. Genellikle cerrahi stres, enfeksiyon, ağrı veya ilaçlar tarafından tetiklenir.</w:t>
      </w:r>
    </w:p>
    <w:p w14:paraId="2A752663"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Kolinerjik Kriz: Aşırı asetilkolinesteraz inhibitörü (örn. piridostigmin, neostigmin) kullanımına bağlı olarak sinaptik aralıkta aşırı miktarda ACh birikmesi durumudur. Bu durum, postsinaptik membranda sürekli bir depolarizasyona yol açar. Reseptörler repolarize olamadığı için yeni bir uyarı iletilemez (suksinilkolinin yarattığı depolarizan bloka benzer bir gevşek paralizi gelişir).</w:t>
      </w:r>
    </w:p>
    <w:p w14:paraId="6B4E6872"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2. Klinik Bulguların Karşılaştırılması</w:t>
      </w:r>
    </w:p>
    <w:p w14:paraId="3A09DE5E" w14:textId="62BC95B2"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Klinik muayenede en önemli ipuçları, kolinerjik krizde karşımıza çıkan aşırı muskarinik aktivite (DUMBBELS veya SLUDGE sendromu) bulgularıdır (Tablo 3).</w:t>
      </w:r>
    </w:p>
    <w:p w14:paraId="77B9E5AF"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3. Farmakolojik Test: Edrofonyum (Tensilon) Testi</w:t>
      </w:r>
    </w:p>
    <w:p w14:paraId="31AD68C1" w14:textId="77777777"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Edrofonyum (Tensilon), ultra-kısa etkili (etki başlangıcı &lt; 1 dk, etki süresi 5-10 dk) bir asetilkolinesteraz inhibitörüdür.</w:t>
      </w:r>
    </w:p>
    <w:p w14:paraId="64988974"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Uygulama Protokolü</w:t>
      </w:r>
    </w:p>
    <w:p w14:paraId="4ADE2312"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Hasta mutlaka monitörize edilir (EKG, SpO2, Kan Basıncı).</w:t>
      </w:r>
    </w:p>
    <w:p w14:paraId="46F45403"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Damar yolu açılır ve bedside resüsitasyon ekipmanı ile atropin (0.4 - 0.6 mg IV enjektörde) hazır bulundurulur.</w:t>
      </w:r>
    </w:p>
    <w:p w14:paraId="2647D534"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Önce 2 mg IV test dozu uygulanır. 30-45 saniye boyunca bradikardi, bronkospazm gibi ciddi muskarinik yan etkiler gözlenmezse geri kalan 8 mg IV olarak tamamlanır (toplam 10 mg).</w:t>
      </w:r>
    </w:p>
    <w:p w14:paraId="2CCAE4C3"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Sonuçların Değerlendirilmesi</w:t>
      </w:r>
    </w:p>
    <w:p w14:paraId="7EB6E181"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Pozitif Yanıt (Myastenik Kriz lehine): Hastanın solunum gücünde, göz kapağı ptozisinde veya ekstremite gücünde belgin ve hızlı bir geçici düzelme görülür. Bu durum hastanın daha fazla ACh'ye ihtiyacı olduğunu kanıtlar.</w:t>
      </w:r>
    </w:p>
    <w:p w14:paraId="48F61BCE"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Negatif veya Kötüleşen Yanıt (Kolinerjik Kriz lehine): Hastanın kas gücü daha da azalır, solunum zayıflığı derinleşir. Şiddetli sekresyon artışı, bradikardi ve karın ağrısı tetiklenir. Bu durum, reseptörlerin zaten aşırı ACh yükü altında ezildiğini gösterir.</w:t>
      </w:r>
    </w:p>
    <w:p w14:paraId="2495971D"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4. Modern Yoğun Bakım Yaklaşımı (2026 Klinik Konsensüsü)</w:t>
      </w:r>
    </w:p>
    <w:p w14:paraId="19D2EEE2" w14:textId="77777777"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Kritik Klinik Uyarı: Güncel yoğun bakım ve anestezi kılavuzlarında, solunum yetmezliği sınırındaki bir hastada Edrofonyum (Tensilon) testi yapılması artık rutin olarak önerilmemekte ve tehlikeli bulunmaktadır. Kolinerjik krizdeki bir hastaya edrofonyum vermek ani kardiyak arreste (asistoliye) veya ölümcül bronkospazma yol açabilir. Ayrıca edrofonyumun piyasadan çekilmesi nedeniyle erişimi de oldukça kısıtlıdır.</w:t>
      </w:r>
    </w:p>
    <w:p w14:paraId="4C23022F" w14:textId="77777777" w:rsidR="002206EF" w:rsidRPr="002206EF" w:rsidRDefault="002206EF" w:rsidP="002206EF">
      <w:pPr>
        <w:spacing w:line="360" w:lineRule="auto" w:after="0" w:before="0"/>
        <w:ind w:firstLine="0" w:left="0" w:right="0"/>
        <w:jc w:val="both"/>
        <w:rPr>
          <w:b/>
          <w:bCs/>
          <w:lang/>
        </w:rPr>
      </w:pPr>
      <w:r w:rsidRPr="002206EF">
        <w:rPr>
          <w:rFonts w:ascii="Times New Roman" w:hAnsi="Times New Roman" w:cs="Times New Roman" w:eastAsia="Times New Roman"/>
          <w:b w:val="0"/>
          <w:bCs/>
          <w:i w:val="0"/>
          <w:sz w:val="22"/>
          <w:u w:val="none"/>
          <w:lang/>
        </w:rPr>
        <w:t>Modern "Güvenli Liman" Stratejisi</w:t>
      </w:r>
    </w:p>
    <w:p w14:paraId="761793BF" w14:textId="77777777"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Eğer postoperatif MG hastasında solunum yetmezliği geliştiyse ve krizin türü net olarak ayırt edilemiyorsa uygulanan modern altın standart protokol şudur:</w:t>
      </w:r>
    </w:p>
    <w:p w14:paraId="018BFBF4"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Hemen Entübasyon ve Solunum Desteği: Tanı koymaya çalışarak vakit kaybetmeden hasta entübe edilir veya uygunsa Non-invaziv Mekanik Ventilasyon (NIV/BIPAP) ile solunumu güvence altına alınır.</w:t>
      </w:r>
    </w:p>
    <w:p w14:paraId="724D72F7"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Tüm Kolinesteraz İnhibitörlerini Kes (Washout): Hastanın aldığı piridostigmin (Mestinon) veya neostigmin tedavisi tamamen durdurulur. Hastanın kolinerjik krizde olduğu varsayımıyla vücudun ilacı temizlemesine izin verilir.</w:t>
      </w:r>
    </w:p>
    <w:p w14:paraId="204057D5"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İmmünmodülatör Tedavi (Krizi Sonlandırma): Zaman kaybetmeden Plazmaferez (PE) veya İntravenöz İmmünoglobulin (IVIg) tedavisine başlanır. Bu tedaviler her iki kriz tipinde de (özellikle myastenik kriz zemininde) antikor yükünü azaltarak motor plağı rahatlatır.</w:t>
      </w:r>
    </w:p>
    <w:p w14:paraId="5F764D2F" w14:textId="77777777" w:rsidR="002206EF" w:rsidRPr="002206EF" w:rsidRDefault="002206EF" w:rsidP="002B677C">
      <w:pPr>
        <w:spacing w:line="360" w:lineRule="auto" w:after="0" w:before="0"/>
        <w:ind w:firstLine="0" w:left="0" w:right="0"/>
        <w:jc w:val="both"/>
        <w:rPr>
          <w:lang/>
        </w:rPr>
      </w:pPr>
      <w:r w:rsidRPr="002206EF">
        <w:rPr>
          <w:rFonts w:ascii="Times New Roman" w:hAnsi="Times New Roman" w:cs="Times New Roman" w:eastAsia="Times New Roman"/>
          <w:b w:val="0"/>
          <w:bCs/>
          <w:i w:val="0"/>
          <w:sz w:val="22"/>
          <w:u w:val="none"/>
          <w:lang/>
        </w:rPr>
        <w:t>Titre Ederek Yeniden Başlama: Havayolu güvenliği sağlanıp ilaç arınma süresi tamamlandıktan (genellikle 24-48 saat) sonra, hasta mekanik solunum desteğinden ayrılırken kolinesteraz inhibitörleri çok düşük dozlardan başlanarak titre edilir.</w:t>
      </w:r>
    </w:p>
    <w:p w14:paraId="26BA609E" w14:textId="77C7B12A" w:rsidR="002206EF" w:rsidRPr="002206EF" w:rsidRDefault="002206EF" w:rsidP="002206EF">
      <w:pPr>
        <w:spacing w:line="360" w:lineRule="auto" w:after="0" w:before="0"/>
        <w:ind w:left="0" w:firstLine="0" w:right="0"/>
        <w:jc w:val="both"/>
        <w:rPr>
          <w:lang/>
        </w:rPr>
      </w:pPr>
      <w:r w:rsidRPr="002206EF">
        <w:rPr>
          <w:rFonts w:ascii="Times New Roman" w:hAnsi="Times New Roman" w:cs="Times New Roman" w:eastAsia="Times New Roman"/>
          <w:b w:val="0"/>
          <w:bCs/>
          <w:i w:val="0"/>
          <w:sz w:val="22"/>
          <w:u w:val="none"/>
          <w:lang/>
        </w:rPr>
        <w:t>Roper, J., &amp; Alhashemi, J. A. (2022). Myasthenic vs. Cholinergic Crisis in the Postoperative Period: Diagnostic Dilemmas. Journal of Clinical Anesthesia, 78, 110-115</w:t>
      </w:r>
    </w:p>
    <w:p w14:paraId="57194931" w14:textId="42E4A0DA" w:rsidR="002206EF" w:rsidRPr="002206EF" w:rsidRDefault="002206EF" w:rsidP="002206EF">
      <w:pPr>
        <w:spacing w:line="360" w:lineRule="auto" w:after="0" w:before="0"/>
        <w:ind w:left="0" w:firstLine="0" w:right="0"/>
        <w:jc w:val="both"/>
        <w:rPr>
          <w:lang/>
        </w:rPr>
      </w:pPr>
      <w:r w:rsidRPr="002206EF">
        <w:rPr>
          <w:rFonts w:ascii="Times New Roman" w:hAnsi="Times New Roman" w:cs="Times New Roman" w:eastAsia="Times New Roman"/>
          <w:b w:val="0"/>
          <w:bCs/>
          <w:i w:val="0"/>
          <w:sz w:val="22"/>
          <w:u w:val="none"/>
          <w:lang/>
        </w:rPr>
        <w:t>Narayanaswami, P., et al. (2021). International Consensus Guidance for Management of Myasthenia Gravis: 2020 Update. Neurology, 96(3), 114-122</w:t>
      </w:r>
    </w:p>
    <w:p w14:paraId="0019B4B2" w14:textId="57FBAA21" w:rsidR="002206EF" w:rsidRPr="002206EF" w:rsidRDefault="002206EF" w:rsidP="002206EF">
      <w:pPr>
        <w:spacing w:line="360" w:lineRule="auto" w:after="0" w:before="0"/>
        <w:ind w:left="0" w:firstLine="0" w:right="0"/>
        <w:jc w:val="both"/>
        <w:rPr>
          <w:lang/>
        </w:rPr>
      </w:pPr>
      <w:r w:rsidRPr="002206EF">
        <w:rPr>
          <w:rFonts w:ascii="Times New Roman" w:hAnsi="Times New Roman" w:cs="Times New Roman" w:eastAsia="Times New Roman"/>
          <w:b w:val="0"/>
          <w:bCs/>
          <w:i w:val="0"/>
          <w:sz w:val="22"/>
          <w:u w:val="none"/>
          <w:lang/>
        </w:rPr>
        <w:t xml:space="preserve">Wijdicks, E. F. (2018). The Management of Myasthenic Crisis. New England Journal of Medicine, 378(11), 1065-1066. </w:t>
      </w:r>
    </w:p>
    <w:p w14:paraId="7535C69C" w14:textId="6CBA9325" w:rsidR="002206EF" w:rsidRPr="002206EF" w:rsidRDefault="002206EF" w:rsidP="002206EF">
      <w:pPr>
        <w:spacing w:line="360" w:lineRule="auto" w:after="0" w:before="0"/>
        <w:ind w:left="0" w:firstLine="0" w:right="0"/>
        <w:jc w:val="both"/>
        <w:rPr>
          <w:lang/>
        </w:rPr>
      </w:pPr>
      <w:r w:rsidRPr="002206EF">
        <w:rPr>
          <w:rFonts w:ascii="Times New Roman" w:hAnsi="Times New Roman" w:cs="Times New Roman" w:eastAsia="Times New Roman"/>
          <w:b w:val="0"/>
          <w:bCs/>
          <w:i w:val="0"/>
          <w:sz w:val="22"/>
          <w:u w:val="none"/>
          <w:lang/>
        </w:rPr>
        <w:t>Farmakoloji Kaynağı: Goodman &amp; Gilman's The Pharmacological Basis of Therapeutics (14th Edition, 2023) - Chapter 12: Anticholinesterase Agents</w:t>
      </w:r>
    </w:p>
    <w:p w14:paraId="2B11467C" w14:textId="4CABE681" w:rsidR="002206EF" w:rsidRPr="002206EF" w:rsidRDefault="002206EF" w:rsidP="002206EF">
      <w:pPr>
        <w:spacing w:line="360" w:lineRule="auto" w:after="0" w:before="0"/>
        <w:ind w:firstLine="0" w:left="0" w:right="0"/>
        <w:jc w:val="both"/>
        <w:rPr>
          <w:lang/>
        </w:rPr>
      </w:pPr>
      <w:r w:rsidRPr="002206EF">
        <w:rPr>
          <w:rFonts w:ascii="Times New Roman" w:hAnsi="Times New Roman" w:cs="Times New Roman" w:eastAsia="Times New Roman"/>
          <w:b w:val="0"/>
          <w:i w:val="0"/>
          <w:sz w:val="22"/>
          <w:u w:val="none"/>
          <w:lang/>
        </w:rPr>
        <w:t xml:space="preserve">Postoperatif solunumsal takibi başarıyla tamamlamak için, hangi hastaların ameliyat sonrası uzamış mekanik ventilasyona ihtiyaç duyacağını önceden tahmin edebilmek hayati önem taşır. </w:t>
      </w:r>
    </w:p>
    <w:p w14:paraId="55F0267C" w14:textId="77777777" w:rsidR="00A2002C" w:rsidRPr="00A2002C" w:rsidRDefault="00A2002C" w:rsidP="00A2002C">
      <w:pPr>
        <w:spacing w:after="120" w:line="360" w:lineRule="auto" w:before="0"/>
        <w:ind w:firstLine="0" w:left="0" w:right="0"/>
        <w:jc w:val="left"/>
        <w:rPr>
          <w:b/>
          <w:bCs/>
          <w:i/>
          <w:iCs/>
          <w:lang/>
        </w:rPr>
      </w:pPr>
      <w:r w:rsidRPr="006F75B5">
        <w:rPr>
          <w:rFonts w:ascii="Times New Roman" w:hAnsi="Times New Roman" w:cs="Times New Roman" w:eastAsia="Times New Roman"/>
          <w:b/>
          <w:bCs/>
          <w:i w:val="0"/>
          <w:sz w:val="24"/>
          <w:u w:val="none"/>
          <w:lang/>
        </w:rPr>
        <w:t>Soru 13 (Postoperatif Analjezi): Postoperatif ağrı yönetiminde solunum depresyonu riskinden kaçınmak için sistemik opioidlerin kullanımını minimize edecek "opioid-sparing" (opioid koruyucu) analjezi stratejileri nelerdir? Multimodal analjezide bölgesel tekniklerin (örn. Erektör Spina Plan bloğu veya paravertebral blok) rolü nedir?</w:t>
      </w:r>
    </w:p>
    <w:p w14:paraId="7737194A" w14:textId="77777777"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Myastenia Gravis (MG) hastalarında cerrahi sonrası (özellikle sternotomi veya torakoskopik timektomi gibi majör müdahalelerde) ağrı yönetimi adeta bir ip üzerinde yürümek gibidir. Klasik opioid bazlı güçlü analjezikler, bu hastaların zaten hassas olan solunum sürücüsünü baskılayarak ve öksürük refleksini kırarak hızlıca mekanik ventilatör bağımlılığına veya myastenik krize yol açabilir.</w:t>
      </w:r>
    </w:p>
    <w:p w14:paraId="17D22079" w14:textId="77777777"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Bu nedenle MG anestezisinde temel felsefe "opioid-free" (hiç opioidsiz) veya en azından "opioid-sparing" (opioid koruyucu) multimodal analjezi olmalıdır.</w:t>
      </w:r>
    </w:p>
    <w:p w14:paraId="73348DB5" w14:textId="77777777" w:rsidR="00203927" w:rsidRPr="00203927" w:rsidRDefault="00203927" w:rsidP="00203927">
      <w:pPr>
        <w:spacing w:line="360" w:lineRule="auto" w:after="0" w:before="0"/>
        <w:ind w:firstLine="0" w:left="0" w:right="0"/>
        <w:jc w:val="both"/>
        <w:rPr>
          <w:b/>
          <w:bCs/>
          <w:lang/>
        </w:rPr>
      </w:pPr>
      <w:r w:rsidRPr="00203927">
        <w:rPr>
          <w:rFonts w:ascii="Times New Roman" w:hAnsi="Times New Roman" w:cs="Times New Roman" w:eastAsia="Times New Roman"/>
          <w:b w:val="0"/>
          <w:bCs/>
          <w:i w:val="0"/>
          <w:sz w:val="22"/>
          <w:u w:val="none"/>
          <w:lang/>
        </w:rPr>
        <w:t>1. Sistemik "Opioid-Koruyucu" Farmakolojik Yaklaşımlar</w:t>
      </w:r>
    </w:p>
    <w:p w14:paraId="422D4B18" w14:textId="77777777"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Multimodal analjezi, farklı mekanizmalarla etki eden non-opioid ilaçların birlikte kullanılarak sinerji yaratılması esasına dayanır.</w:t>
      </w:r>
    </w:p>
    <w:p w14:paraId="5EA6B899"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Parasetamol (Asetaminofen): Multimodal yaklaşımın temel taşıdır. Solunum depresyonu yapmaz, nöromüsküler iletimi etkilemez. Düzenli aralıklarla (örneğin 6 saatte bir 1g IV) verilmelidir.</w:t>
      </w:r>
    </w:p>
    <w:p w14:paraId="3D04C077"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Seçici / Non-Seçici NSAİİ'ler (Örn. İbuprofen, Deksketoprofen): Özellikle kemik ağrısında (sternotomi sonrası) çok etkilidirler. Solunum üzerine yan etkileri yoktur. Ancak renal fonksiyonlar ve cerrahi kanama riski yönünden yakın takip gerektirirler.</w:t>
      </w:r>
    </w:p>
    <w:p w14:paraId="7A586ADF"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Alfa-2 Agonistleri (Dekstetomidin): Yoğun bakım ve postoperatif dönemde hem sedasyon hem de analjezi sağlar. En büyük avantajı, solunum depresyonu yapmadan opioid ihtiyacını yarı yarıya azaltabilmesidir.</w:t>
      </w:r>
    </w:p>
    <w:p w14:paraId="2D08DE74"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Ketamin: Subanestezik dozlarda (0.1-0.2 mg/kg/saat infüzyon) NMDA reseptör antagonistidir. Santral sensitizasyonu önler ve hiperaljeziyi engeller. Solunumu baskılamaz.</w:t>
      </w:r>
    </w:p>
    <w:p w14:paraId="484AE221" w14:textId="35347B06"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 xml:space="preserve"> Kritik Kontrendikasyon Uyarısı (Magnezyum): Multimodal analjezide normal hastalarda sıkça kullanılan Magnezyum Sülfat, MG hastalarında kesinlikle kontrendikedir. Magnezyum, presinaptik kalsiyum kanallarını bloke ederek asetilkolin salınımını azaltır ve postsinaptik membranın hassasiyetini düşürür. Bu durum ani ve geri dönüşü zor solunum felçlerini tetikleyebilir.</w:t>
      </w:r>
    </w:p>
    <w:p w14:paraId="7BD1EB98" w14:textId="77777777" w:rsidR="00203927" w:rsidRPr="00203927" w:rsidRDefault="00203927" w:rsidP="00203927">
      <w:pPr>
        <w:spacing w:line="360" w:lineRule="auto" w:after="0" w:before="0"/>
        <w:ind w:firstLine="0" w:left="0" w:right="0"/>
        <w:jc w:val="both"/>
        <w:rPr>
          <w:b/>
          <w:bCs/>
          <w:lang/>
        </w:rPr>
      </w:pPr>
      <w:r w:rsidRPr="00203927">
        <w:rPr>
          <w:rFonts w:ascii="Times New Roman" w:hAnsi="Times New Roman" w:cs="Times New Roman" w:eastAsia="Times New Roman"/>
          <w:b w:val="0"/>
          <w:bCs/>
          <w:i w:val="0"/>
          <w:sz w:val="22"/>
          <w:u w:val="none"/>
          <w:lang/>
        </w:rPr>
        <w:t>2. Bölgesel (Rejyonel) Tekniklerin Devrimsel Rolü</w:t>
      </w:r>
    </w:p>
    <w:p w14:paraId="4CA95DFC" w14:textId="71301684"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Bölgesel anestezi teknikleri, ağrı sinyallerini daha omuriliğe ulaşmadan yerinde (periferde) bloke eder. Sistemik ilaç yükünü sıfırlayarak veya minimuma indirerek MG hastaları için en güvenli analjezi yöntemini sunarlar.</w:t>
      </w:r>
    </w:p>
    <w:p w14:paraId="1B506E15" w14:textId="77777777"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Bu bloklar özellikle sternotomi (göğüs kemiğinin kesilmesi) veya VATS (videotorakoskopik timektomi) yapılan torakal bölgedeki ağrıyı kesmek için tam olarak bu spinal sinir trasesini hedefler:</w:t>
      </w:r>
    </w:p>
    <w:p w14:paraId="779BDA44" w14:textId="77777777" w:rsidR="00203927" w:rsidRPr="00203927" w:rsidRDefault="00203927" w:rsidP="00203927">
      <w:pPr>
        <w:spacing w:line="360" w:lineRule="auto" w:after="0" w:before="0"/>
        <w:ind w:firstLine="0" w:left="0" w:right="0"/>
        <w:jc w:val="both"/>
        <w:rPr>
          <w:b/>
          <w:bCs/>
          <w:lang/>
        </w:rPr>
      </w:pPr>
      <w:r w:rsidRPr="00203927">
        <w:rPr>
          <w:rFonts w:ascii="Times New Roman" w:hAnsi="Times New Roman" w:cs="Times New Roman" w:eastAsia="Times New Roman"/>
          <w:b w:val="0"/>
          <w:bCs/>
          <w:i w:val="0"/>
          <w:sz w:val="22"/>
          <w:u w:val="none"/>
          <w:lang/>
        </w:rPr>
        <w:t>A. Erektör Spina Plan (ESP) Bloğu</w:t>
      </w:r>
    </w:p>
    <w:p w14:paraId="31115D36" w14:textId="77777777" w:rsidR="00203927" w:rsidRPr="00203927" w:rsidRDefault="00203927" w:rsidP="00203927">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Son yılların en popüler ve MG hastaları için en güvenli bölgesel tekniklerinden biridir.</w:t>
      </w:r>
    </w:p>
    <w:p w14:paraId="0231B9DC"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Nasıl Çalışır? Ultrason eşliğinde, erektör spina kas grubu ile torakal transvers çıkıntı arasındaki fasyal plana lokal anestezik enjekte edilir. İlaç fasyal planda yayılarak spinal sinirlerin hem dorsal hem de ventral dallarını bloke eder.</w:t>
      </w:r>
    </w:p>
    <w:p w14:paraId="48B3ED36"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Avantajı: Epidural veya paravertebral bloğa göre teknik olarak çok daha kolay ve güvenlidir. Plevra yaralanması (pnömotoraks) veya majör damar ponksiyonu riski son derece düşüktür. Bilateral (çift taraflı) yapıldığında sternotomi ağrısını mükemmel şekilde kontrol eder ve hastanın erken dönemde derin nefes alıp öksürebilmesini sağlar.</w:t>
      </w:r>
    </w:p>
    <w:p w14:paraId="39A0049D" w14:textId="5CDCC46E" w:rsidR="00203927" w:rsidRPr="00203927" w:rsidRDefault="00203927" w:rsidP="00203927">
      <w:pPr>
        <w:spacing w:line="360" w:lineRule="auto" w:after="0" w:before="0"/>
        <w:ind w:firstLine="0" w:left="0" w:right="0"/>
        <w:jc w:val="both"/>
        <w:rPr>
          <w:b/>
          <w:bCs/>
          <w:lang/>
        </w:rPr>
      </w:pPr>
      <w:r w:rsidRPr="00203927">
        <w:rPr>
          <w:rFonts w:ascii="Times New Roman" w:hAnsi="Times New Roman" w:cs="Times New Roman" w:eastAsia="Times New Roman"/>
          <w:b w:val="0"/>
          <w:bCs/>
          <w:i w:val="0"/>
          <w:sz w:val="22"/>
          <w:u w:val="none"/>
          <w:lang/>
        </w:rPr>
        <w:t>B. Torakal Paravertebral Blok (TPVB)</w:t>
      </w:r>
    </w:p>
    <w:p w14:paraId="4ADDDD44"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Nasıl Çalışır? Lokal anestezik, spinal sinirlerin intervertebral foramenden çıktığı paravertebral alana enjekte edilir.</w:t>
      </w:r>
    </w:p>
    <w:p w14:paraId="3C7E5890"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Avantajı: Tek taraflı (unilateral) VATS timektomilerinde adeta altın standarttır. Epidural analjeziye benzer kalitede segmental blok sağlar ancak sistemik hipotansiyon ve motor blok riski çok daha azdır.</w:t>
      </w:r>
    </w:p>
    <w:p w14:paraId="56186481"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bCs/>
          <w:i w:val="0"/>
          <w:sz w:val="22"/>
          <w:u w:val="none"/>
          <w:lang/>
        </w:rPr>
        <w:t>Dezavantajı: ESP bloğuna göre akciğer zarına (plevra) daha yakın çalışıldığı için pnömotoraks riski biraz daha yüksektir ve deneyim gerektirir.</w:t>
      </w:r>
    </w:p>
    <w:p w14:paraId="00D47AB0" w14:textId="77777777" w:rsidR="00203927" w:rsidRPr="00203927" w:rsidRDefault="00203927" w:rsidP="00203927">
      <w:pPr>
        <w:spacing w:line="360" w:lineRule="auto" w:after="0" w:before="0"/>
        <w:ind w:firstLine="0" w:left="0" w:right="0"/>
        <w:jc w:val="both"/>
        <w:rPr>
          <w:b/>
          <w:bCs/>
          <w:lang/>
        </w:rPr>
      </w:pPr>
      <w:r w:rsidRPr="00203927">
        <w:rPr>
          <w:rFonts w:ascii="Times New Roman" w:hAnsi="Times New Roman" w:cs="Times New Roman" w:eastAsia="Times New Roman"/>
          <w:b w:val="0"/>
          <w:bCs/>
          <w:i w:val="0"/>
          <w:sz w:val="22"/>
          <w:u w:val="none"/>
          <w:lang/>
        </w:rPr>
        <w:t>C. Torakal Epidural Analjezi (TEA)</w:t>
      </w:r>
    </w:p>
    <w:p w14:paraId="727372E6" w14:textId="77777777" w:rsidR="00203927" w:rsidRPr="00203927" w:rsidRDefault="00203927" w:rsidP="002B677C">
      <w:pPr>
        <w:spacing w:line="360" w:lineRule="auto" w:after="0" w:before="0"/>
        <w:ind w:firstLine="0" w:left="0" w:right="0"/>
        <w:jc w:val="both"/>
        <w:rPr>
          <w:lang/>
        </w:rPr>
      </w:pPr>
      <w:r w:rsidRPr="00203927">
        <w:rPr>
          <w:rFonts w:ascii="Times New Roman" w:hAnsi="Times New Roman" w:cs="Times New Roman" w:eastAsia="Times New Roman"/>
          <w:b w:val="0"/>
          <w:i w:val="0"/>
          <w:sz w:val="22"/>
          <w:u w:val="none"/>
          <w:lang/>
        </w:rPr>
        <w:t>Klasik altın standart olmakla birlikte, MG hastalarında sempatik blokaj nedeniyle oluşabilecek hipotansiyon, solunum kaslarında (özellikle yüksek seviyelerde interkostal kaslarda) motor blok riski ve antikoagülan kullanımı durumunda epidural hematom riski nedeniyle günümüzde yerini daha çok ESP ve Paravertebral bloklara bırakmaktadır.</w:t>
      </w:r>
    </w:p>
    <w:p w14:paraId="4EB06366" w14:textId="1BF0908C" w:rsidR="007409EF" w:rsidRPr="00B125CB" w:rsidRDefault="007409EF" w:rsidP="008A09AA">
      <w:pPr>
        <w:spacing w:line="360" w:lineRule="auto" w:after="0" w:before="0"/>
        <w:ind w:left="0" w:firstLine="0" w:right="0"/>
        <w:jc w:val="both"/>
        <w:rPr>
          <w:rFonts w:eastAsiaTheme="minorEastAsia"/>
          <w:sz w:val="22"/>
          <w:szCs w:val="22"/>
        </w:rPr>
      </w:pPr>
      <w:r w:rsidRPr="00B125CB">
        <w:rPr>
          <w:rFonts w:eastAsiaTheme="minorEastAsia" w:ascii="Times New Roman" w:hAnsi="Times New Roman" w:cs="Times New Roman" w:eastAsia="Times New Roman"/>
          <w:b w:val="0"/>
          <w:i w:val="0"/>
          <w:sz w:val="22"/>
          <w:szCs w:val="22"/>
          <w:u w:val="none"/>
        </w:rPr>
        <w:t xml:space="preserve">Forero, M., et al. (2016). The Erector Spinae Plane Block: A Novel Analgesic Technique in Thoracic Neuropathic Pain. Regional Anesthesia &amp; Pain Medicine, 41(5), 621-627. </w:t>
      </w:r>
    </w:p>
    <w:p w14:paraId="5FE2310C" w14:textId="73BF13DB" w:rsidR="007409EF" w:rsidRPr="00B125CB" w:rsidRDefault="007409EF" w:rsidP="008A09AA">
      <w:pPr>
        <w:spacing w:line="360" w:lineRule="auto" w:after="0" w:before="0"/>
        <w:ind w:left="0" w:firstLine="0" w:right="0"/>
        <w:jc w:val="both"/>
        <w:rPr>
          <w:rFonts w:eastAsiaTheme="minorEastAsia"/>
          <w:sz w:val="22"/>
          <w:szCs w:val="22"/>
        </w:rPr>
      </w:pPr>
      <w:r w:rsidRPr="00B125CB">
        <w:rPr>
          <w:rFonts w:eastAsiaTheme="minorEastAsia" w:ascii="Times New Roman" w:hAnsi="Times New Roman" w:cs="Times New Roman" w:eastAsia="Times New Roman"/>
          <w:b w:val="0"/>
          <w:i w:val="0"/>
          <w:sz w:val="22"/>
          <w:szCs w:val="22"/>
          <w:u w:val="none"/>
        </w:rPr>
        <w:t>Koculu, R., et al. (2020). Opioid-Sparing Multimodal Analgesia with Erector Spinae Plane Block in Myasthenia Gravis Patients Undergoing Thymectomy. Journal of Cardiothoracic and Vascular Anesthesia, 34(8), 2150-2155.</w:t>
      </w:r>
    </w:p>
    <w:p w14:paraId="03806FE8" w14:textId="0469A762" w:rsidR="007409EF" w:rsidRPr="00B125CB" w:rsidRDefault="007409EF" w:rsidP="008A09AA">
      <w:pPr>
        <w:spacing w:line="360" w:lineRule="auto" w:after="0" w:before="0"/>
        <w:ind w:left="0" w:firstLine="0" w:right="0"/>
        <w:jc w:val="both"/>
        <w:rPr>
          <w:rFonts w:eastAsiaTheme="minorEastAsia"/>
          <w:sz w:val="22"/>
          <w:szCs w:val="22"/>
        </w:rPr>
      </w:pPr>
      <w:r w:rsidRPr="00B125CB">
        <w:rPr>
          <w:rFonts w:eastAsiaTheme="minorEastAsia" w:ascii="Times New Roman" w:hAnsi="Times New Roman" w:cs="Times New Roman" w:eastAsia="Times New Roman"/>
          <w:b w:val="0"/>
          <w:i w:val="0"/>
          <w:sz w:val="22"/>
          <w:szCs w:val="22"/>
          <w:u w:val="none"/>
        </w:rPr>
        <w:t xml:space="preserve">El-Boghdadly, K., et al. (2021). Thoracic paravertebral block versus erector spinae plane block for thoracic surgery: a systematic review and meta-analysis. Anaesthesia, 76(11), 1503-1516. </w:t>
      </w:r>
    </w:p>
    <w:p w14:paraId="7151C2E3" w14:textId="64470097" w:rsidR="007409EF" w:rsidRPr="00B125CB" w:rsidRDefault="007409EF" w:rsidP="008A09AA">
      <w:pPr>
        <w:spacing w:line="360" w:lineRule="auto" w:after="0" w:before="0"/>
        <w:ind w:left="0" w:firstLine="0" w:right="0"/>
        <w:jc w:val="both"/>
        <w:rPr>
          <w:rFonts w:eastAsiaTheme="minorEastAsia"/>
          <w:sz w:val="22"/>
          <w:szCs w:val="22"/>
        </w:rPr>
      </w:pPr>
      <w:r w:rsidRPr="00B125CB">
        <w:rPr>
          <w:rFonts w:eastAsiaTheme="minorEastAsia" w:ascii="Times New Roman" w:hAnsi="Times New Roman" w:cs="Times New Roman" w:eastAsia="Times New Roman"/>
          <w:b w:val="0"/>
          <w:i w:val="0"/>
          <w:sz w:val="22"/>
          <w:szCs w:val="22"/>
          <w:u w:val="none"/>
        </w:rPr>
        <w:t xml:space="preserve">Practice Guidelines for Acute Pain Management in the Perioperative Setting (ASA, 2022). </w:t>
      </w:r>
    </w:p>
    <w:sectPr w:rsidR="00203927" w:rsidRPr="002206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EB4"/>
    <w:multiLevelType w:val="multilevel"/>
    <w:tmpl w:val="F1D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2DF"/>
    <w:multiLevelType w:val="multilevel"/>
    <w:tmpl w:val="4C0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25EC"/>
    <w:multiLevelType w:val="multilevel"/>
    <w:tmpl w:val="1C0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2C81"/>
    <w:multiLevelType w:val="multilevel"/>
    <w:tmpl w:val="05C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3308"/>
    <w:multiLevelType w:val="multilevel"/>
    <w:tmpl w:val="13D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41D64"/>
    <w:multiLevelType w:val="multilevel"/>
    <w:tmpl w:val="83B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F1949"/>
    <w:multiLevelType w:val="multilevel"/>
    <w:tmpl w:val="83C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31BAC"/>
    <w:multiLevelType w:val="multilevel"/>
    <w:tmpl w:val="8EB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312F"/>
    <w:multiLevelType w:val="multilevel"/>
    <w:tmpl w:val="45B470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00525"/>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03025"/>
    <w:multiLevelType w:val="multilevel"/>
    <w:tmpl w:val="78C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F2A4D"/>
    <w:multiLevelType w:val="multilevel"/>
    <w:tmpl w:val="0AF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B10C8"/>
    <w:multiLevelType w:val="multilevel"/>
    <w:tmpl w:val="092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36910"/>
    <w:multiLevelType w:val="multilevel"/>
    <w:tmpl w:val="A8F8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A5D8A"/>
    <w:multiLevelType w:val="multilevel"/>
    <w:tmpl w:val="9C9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A38B5"/>
    <w:multiLevelType w:val="multilevel"/>
    <w:tmpl w:val="79A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D7B4D"/>
    <w:multiLevelType w:val="multilevel"/>
    <w:tmpl w:val="197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F1364"/>
    <w:multiLevelType w:val="multilevel"/>
    <w:tmpl w:val="1B8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B1F09"/>
    <w:multiLevelType w:val="multilevel"/>
    <w:tmpl w:val="A320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22790"/>
    <w:multiLevelType w:val="multilevel"/>
    <w:tmpl w:val="D33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B4A68"/>
    <w:multiLevelType w:val="multilevel"/>
    <w:tmpl w:val="862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F6296"/>
    <w:multiLevelType w:val="multilevel"/>
    <w:tmpl w:val="A274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9252AC"/>
    <w:multiLevelType w:val="multilevel"/>
    <w:tmpl w:val="B8E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209B"/>
    <w:multiLevelType w:val="multilevel"/>
    <w:tmpl w:val="0AA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0E4A"/>
    <w:multiLevelType w:val="multilevel"/>
    <w:tmpl w:val="D6A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D2DE3"/>
    <w:multiLevelType w:val="multilevel"/>
    <w:tmpl w:val="251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20B3F"/>
    <w:multiLevelType w:val="multilevel"/>
    <w:tmpl w:val="40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424A4"/>
    <w:multiLevelType w:val="multilevel"/>
    <w:tmpl w:val="B33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10F65"/>
    <w:multiLevelType w:val="multilevel"/>
    <w:tmpl w:val="7DA8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01F53"/>
    <w:multiLevelType w:val="multilevel"/>
    <w:tmpl w:val="E9D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80F63"/>
    <w:multiLevelType w:val="multilevel"/>
    <w:tmpl w:val="E5F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82733"/>
    <w:multiLevelType w:val="multilevel"/>
    <w:tmpl w:val="ED1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41FD2"/>
    <w:multiLevelType w:val="multilevel"/>
    <w:tmpl w:val="C20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2094C"/>
    <w:multiLevelType w:val="multilevel"/>
    <w:tmpl w:val="D1D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6388C"/>
    <w:multiLevelType w:val="multilevel"/>
    <w:tmpl w:val="1B4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E2496"/>
    <w:multiLevelType w:val="multilevel"/>
    <w:tmpl w:val="936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8748F"/>
    <w:multiLevelType w:val="multilevel"/>
    <w:tmpl w:val="AF4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F55AC"/>
    <w:multiLevelType w:val="multilevel"/>
    <w:tmpl w:val="D9B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2357B"/>
    <w:multiLevelType w:val="multilevel"/>
    <w:tmpl w:val="BE9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096F"/>
    <w:multiLevelType w:val="multilevel"/>
    <w:tmpl w:val="4A2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C65A3"/>
    <w:multiLevelType w:val="multilevel"/>
    <w:tmpl w:val="CE1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35192"/>
    <w:multiLevelType w:val="multilevel"/>
    <w:tmpl w:val="1F28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76C62"/>
    <w:multiLevelType w:val="multilevel"/>
    <w:tmpl w:val="6348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F21770"/>
    <w:multiLevelType w:val="multilevel"/>
    <w:tmpl w:val="9E10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315C6"/>
    <w:multiLevelType w:val="multilevel"/>
    <w:tmpl w:val="065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5786D"/>
    <w:multiLevelType w:val="multilevel"/>
    <w:tmpl w:val="7F1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7753">
    <w:abstractNumId w:val="40"/>
  </w:num>
  <w:num w:numId="2" w16cid:durableId="2094811205">
    <w:abstractNumId w:val="6"/>
  </w:num>
  <w:num w:numId="3" w16cid:durableId="606084779">
    <w:abstractNumId w:val="30"/>
  </w:num>
  <w:num w:numId="4" w16cid:durableId="1748721561">
    <w:abstractNumId w:val="20"/>
  </w:num>
  <w:num w:numId="5" w16cid:durableId="526725125">
    <w:abstractNumId w:val="18"/>
  </w:num>
  <w:num w:numId="6" w16cid:durableId="1789156826">
    <w:abstractNumId w:val="43"/>
  </w:num>
  <w:num w:numId="7" w16cid:durableId="727997426">
    <w:abstractNumId w:val="2"/>
  </w:num>
  <w:num w:numId="8" w16cid:durableId="1127427703">
    <w:abstractNumId w:val="13"/>
  </w:num>
  <w:num w:numId="9" w16cid:durableId="1789663173">
    <w:abstractNumId w:val="24"/>
  </w:num>
  <w:num w:numId="10" w16cid:durableId="114639290">
    <w:abstractNumId w:val="33"/>
  </w:num>
  <w:num w:numId="11" w16cid:durableId="1426146297">
    <w:abstractNumId w:val="29"/>
  </w:num>
  <w:num w:numId="12" w16cid:durableId="1285386840">
    <w:abstractNumId w:val="37"/>
  </w:num>
  <w:num w:numId="13" w16cid:durableId="322120856">
    <w:abstractNumId w:val="38"/>
  </w:num>
  <w:num w:numId="14" w16cid:durableId="32733192">
    <w:abstractNumId w:val="41"/>
  </w:num>
  <w:num w:numId="15" w16cid:durableId="63113428">
    <w:abstractNumId w:val="8"/>
  </w:num>
  <w:num w:numId="16" w16cid:durableId="2143384012">
    <w:abstractNumId w:val="39"/>
  </w:num>
  <w:num w:numId="17" w16cid:durableId="1153793981">
    <w:abstractNumId w:val="35"/>
  </w:num>
  <w:num w:numId="18" w16cid:durableId="1647584932">
    <w:abstractNumId w:val="32"/>
  </w:num>
  <w:num w:numId="19" w16cid:durableId="2035812873">
    <w:abstractNumId w:val="19"/>
  </w:num>
  <w:num w:numId="20" w16cid:durableId="1400979728">
    <w:abstractNumId w:val="16"/>
  </w:num>
  <w:num w:numId="21" w16cid:durableId="1987973684">
    <w:abstractNumId w:val="11"/>
  </w:num>
  <w:num w:numId="22" w16cid:durableId="1488520042">
    <w:abstractNumId w:val="0"/>
  </w:num>
  <w:num w:numId="23" w16cid:durableId="855265762">
    <w:abstractNumId w:val="12"/>
  </w:num>
  <w:num w:numId="24" w16cid:durableId="780689714">
    <w:abstractNumId w:val="1"/>
  </w:num>
  <w:num w:numId="25" w16cid:durableId="250629803">
    <w:abstractNumId w:val="15"/>
  </w:num>
  <w:num w:numId="26" w16cid:durableId="1781295695">
    <w:abstractNumId w:val="36"/>
  </w:num>
  <w:num w:numId="27" w16cid:durableId="1320422257">
    <w:abstractNumId w:val="22"/>
  </w:num>
  <w:num w:numId="28" w16cid:durableId="1713074977">
    <w:abstractNumId w:val="45"/>
  </w:num>
  <w:num w:numId="29" w16cid:durableId="1720779388">
    <w:abstractNumId w:val="4"/>
  </w:num>
  <w:num w:numId="30" w16cid:durableId="603222088">
    <w:abstractNumId w:val="44"/>
  </w:num>
  <w:num w:numId="31" w16cid:durableId="1871870934">
    <w:abstractNumId w:val="26"/>
  </w:num>
  <w:num w:numId="32" w16cid:durableId="1910920999">
    <w:abstractNumId w:val="10"/>
  </w:num>
  <w:num w:numId="33" w16cid:durableId="623191731">
    <w:abstractNumId w:val="28"/>
  </w:num>
  <w:num w:numId="34" w16cid:durableId="1301767688">
    <w:abstractNumId w:val="23"/>
  </w:num>
  <w:num w:numId="35" w16cid:durableId="870193351">
    <w:abstractNumId w:val="3"/>
  </w:num>
  <w:num w:numId="36" w16cid:durableId="608123452">
    <w:abstractNumId w:val="27"/>
  </w:num>
  <w:num w:numId="37" w16cid:durableId="66610218">
    <w:abstractNumId w:val="34"/>
  </w:num>
  <w:num w:numId="38" w16cid:durableId="1864662295">
    <w:abstractNumId w:val="42"/>
  </w:num>
  <w:num w:numId="39" w16cid:durableId="1177813923">
    <w:abstractNumId w:val="31"/>
  </w:num>
  <w:num w:numId="40" w16cid:durableId="1348675269">
    <w:abstractNumId w:val="5"/>
  </w:num>
  <w:num w:numId="41" w16cid:durableId="1326670441">
    <w:abstractNumId w:val="7"/>
  </w:num>
  <w:num w:numId="42" w16cid:durableId="1540896160">
    <w:abstractNumId w:val="21"/>
  </w:num>
  <w:num w:numId="43" w16cid:durableId="745880031">
    <w:abstractNumId w:val="25"/>
  </w:num>
  <w:num w:numId="44" w16cid:durableId="591088642">
    <w:abstractNumId w:val="14"/>
  </w:num>
  <w:num w:numId="45" w16cid:durableId="1618684761">
    <w:abstractNumId w:val="17"/>
  </w:num>
  <w:num w:numId="46" w16cid:durableId="565141178">
    <w:abstractNumId w:val="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9E"/>
    <w:rsid w:val="00073872"/>
    <w:rsid w:val="00166036"/>
    <w:rsid w:val="00166D87"/>
    <w:rsid w:val="001C739A"/>
    <w:rsid w:val="00203927"/>
    <w:rsid w:val="002206EF"/>
    <w:rsid w:val="00250E2F"/>
    <w:rsid w:val="002B677C"/>
    <w:rsid w:val="00382453"/>
    <w:rsid w:val="003A3BB8"/>
    <w:rsid w:val="003E4432"/>
    <w:rsid w:val="003F2E58"/>
    <w:rsid w:val="00402513"/>
    <w:rsid w:val="004E4E9E"/>
    <w:rsid w:val="0053114F"/>
    <w:rsid w:val="0054180D"/>
    <w:rsid w:val="00567CF0"/>
    <w:rsid w:val="005B11BA"/>
    <w:rsid w:val="005C28FF"/>
    <w:rsid w:val="00603EF6"/>
    <w:rsid w:val="006D24E4"/>
    <w:rsid w:val="006F75B5"/>
    <w:rsid w:val="00710F5A"/>
    <w:rsid w:val="00730362"/>
    <w:rsid w:val="007409EF"/>
    <w:rsid w:val="008023E1"/>
    <w:rsid w:val="00841F80"/>
    <w:rsid w:val="008A09AA"/>
    <w:rsid w:val="008D6F72"/>
    <w:rsid w:val="0091556F"/>
    <w:rsid w:val="00991103"/>
    <w:rsid w:val="00A2002C"/>
    <w:rsid w:val="00A404FD"/>
    <w:rsid w:val="00AB471F"/>
    <w:rsid w:val="00AC71EA"/>
    <w:rsid w:val="00AF7DE5"/>
    <w:rsid w:val="00B125CB"/>
    <w:rsid w:val="00B1480E"/>
    <w:rsid w:val="00BF6E03"/>
    <w:rsid w:val="00C41D67"/>
    <w:rsid w:val="00CB26DD"/>
    <w:rsid w:val="00D12150"/>
    <w:rsid w:val="00D12755"/>
    <w:rsid w:val="00D1797B"/>
    <w:rsid w:val="00D21305"/>
    <w:rsid w:val="00D63603"/>
    <w:rsid w:val="00D66D59"/>
    <w:rsid w:val="00DD0BA3"/>
    <w:rsid w:val="00DD74C1"/>
    <w:rsid w:val="00E021C7"/>
    <w:rsid w:val="00E02399"/>
    <w:rsid w:val="00E028AE"/>
    <w:rsid w:val="00E579ED"/>
    <w:rsid w:val="00E714CA"/>
    <w:rsid w:val="00EA6655"/>
    <w:rsid w:val="00F31185"/>
    <w:rsid w:val="00F447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0F421E4"/>
  <w15:chartTrackingRefBased/>
  <w15:docId w15:val="{5F776361-E7FD-824E-9292-98316C697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39A"/>
    <w:pPr>
      <w:spacing/>
    </w:pPr>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E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9E"/>
    <w:rPr>
      <w:rFonts w:eastAsiaTheme="majorEastAsia" w:cstheme="majorBidi"/>
      <w:color w:val="272727" w:themeColor="text1" w:themeTint="D8"/>
    </w:rPr>
  </w:style>
  <w:style w:type="paragraph" w:styleId="Title">
    <w:name w:val="Title"/>
    <w:basedOn w:val="Normal"/>
    <w:next w:val="Normal"/>
    <w:link w:val="TitleChar"/>
    <w:uiPriority w:val="10"/>
    <w:qFormat/>
    <w:rsid w:val="004E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9E"/>
    <w:pPr>
      <w:spacing w:before="160"/>
      <w:jc w:val="center"/>
    </w:pPr>
    <w:rPr>
      <w:i/>
      <w:iCs/>
      <w:color w:val="404040" w:themeColor="text1" w:themeTint="BF"/>
    </w:rPr>
  </w:style>
  <w:style w:type="character" w:customStyle="1" w:styleId="QuoteChar">
    <w:name w:val="Quote Char"/>
    <w:basedOn w:val="DefaultParagraphFont"/>
    <w:link w:val="Quote"/>
    <w:uiPriority w:val="29"/>
    <w:rsid w:val="004E4E9E"/>
    <w:rPr>
      <w:i/>
      <w:iCs/>
      <w:color w:val="404040" w:themeColor="text1" w:themeTint="BF"/>
    </w:rPr>
  </w:style>
  <w:style w:type="paragraph" w:styleId="ListParagraph">
    <w:name w:val="List Paragraph"/>
    <w:basedOn w:val="Normal"/>
    <w:uiPriority w:val="34"/>
    <w:qFormat/>
    <w:rsid w:val="004E4E9E"/>
    <w:pPr>
      <w:ind w:left="720"/>
      <w:contextualSpacing/>
    </w:pPr>
  </w:style>
  <w:style w:type="character" w:styleId="IntenseEmphasis">
    <w:name w:val="Intense Emphasis"/>
    <w:basedOn w:val="DefaultParagraphFont"/>
    <w:uiPriority w:val="21"/>
    <w:qFormat/>
    <w:rsid w:val="004E4E9E"/>
    <w:rPr>
      <w:i/>
      <w:iCs/>
      <w:color w:val="0F4761" w:themeColor="accent1" w:themeShade="BF"/>
    </w:rPr>
  </w:style>
  <w:style w:type="paragraph" w:styleId="IntenseQuote">
    <w:name w:val="Intense Quote"/>
    <w:basedOn w:val="Normal"/>
    <w:next w:val="Normal"/>
    <w:link w:val="IntenseQuoteChar"/>
    <w:uiPriority w:val="30"/>
    <w:qFormat/>
    <w:rsid w:val="004E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9E"/>
    <w:rPr>
      <w:i/>
      <w:iCs/>
      <w:color w:val="0F4761" w:themeColor="accent1" w:themeShade="BF"/>
    </w:rPr>
  </w:style>
  <w:style w:type="character" w:styleId="IntenseReference">
    <w:name w:val="Intense Reference"/>
    <w:basedOn w:val="DefaultParagraphFont"/>
    <w:uiPriority w:val="32"/>
    <w:qFormat/>
    <w:rsid w:val="004E4E9E"/>
    <w:rPr>
      <w:b/>
      <w:bCs/>
      <w:smallCaps/>
      <w:color w:val="0F4761" w:themeColor="accent1" w:themeShade="BF"/>
      <w:spacing w:val="5"/>
    </w:rPr>
  </w:style>
  <w:style w:type="paragraph" w:styleId="NormalWeb">
    <w:name w:val="Normal (Web)"/>
    <w:basedOn w:val="Normal"/>
    <w:uiPriority w:val="99"/>
    <w:semiHidden/>
    <w:unhideWhenUsed/>
    <w:rsid w:val="007409EF"/>
    <w:pPr>
      <w:spacing w:before="100" w:beforeAutospacing="1" w:after="100" w:afterAutospacing="1" w:line="240" w:lineRule="auto"/>
    </w:pPr>
    <w:rPr>
      <w:rFonts w:eastAsia="Times New Roman"/>
      <w:sz w:val="24"/>
      <w:szCs w:val="24"/>
      <w:lang/>
    </w:rPr>
  </w:style>
  <w:style w:type="character" w:customStyle="1" w:styleId="apple-converted-space">
    <w:name w:val="apple-converted-space"/>
    <w:basedOn w:val="DefaultParagraphFont"/>
    <w:rsid w:val="00740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2818">
      <w:bodyDiv w:val="1"/>
      <w:marLeft w:val="0"/>
      <w:marRight w:val="0"/>
      <w:marTop w:val="0"/>
      <w:marBottom w:val="0"/>
      <w:divBdr>
        <w:top w:val="none" w:sz="0" w:space="0" w:color="auto"/>
        <w:left w:val="none" w:sz="0" w:space="0" w:color="auto"/>
        <w:bottom w:val="none" w:sz="0" w:space="0" w:color="auto"/>
        <w:right w:val="none" w:sz="0" w:space="0" w:color="auto"/>
      </w:divBdr>
      <w:divsChild>
        <w:div w:id="1747995007">
          <w:marLeft w:val="0"/>
          <w:marRight w:val="0"/>
          <w:marTop w:val="0"/>
          <w:marBottom w:val="0"/>
          <w:divBdr>
            <w:top w:val="none" w:sz="0" w:space="0" w:color="auto"/>
            <w:left w:val="none" w:sz="0" w:space="0" w:color="auto"/>
            <w:bottom w:val="none" w:sz="0" w:space="0" w:color="auto"/>
            <w:right w:val="none" w:sz="0" w:space="0" w:color="auto"/>
          </w:divBdr>
          <w:divsChild>
            <w:div w:id="570502006">
              <w:marLeft w:val="0"/>
              <w:marRight w:val="0"/>
              <w:marTop w:val="0"/>
              <w:marBottom w:val="0"/>
              <w:divBdr>
                <w:top w:val="none" w:sz="0" w:space="0" w:color="auto"/>
                <w:left w:val="none" w:sz="0" w:space="0" w:color="auto"/>
                <w:bottom w:val="none" w:sz="0" w:space="0" w:color="auto"/>
                <w:right w:val="none" w:sz="0" w:space="0" w:color="auto"/>
              </w:divBdr>
              <w:divsChild>
                <w:div w:id="1671831435">
                  <w:marLeft w:val="0"/>
                  <w:marRight w:val="0"/>
                  <w:marTop w:val="0"/>
                  <w:marBottom w:val="0"/>
                  <w:divBdr>
                    <w:top w:val="none" w:sz="0" w:space="0" w:color="auto"/>
                    <w:left w:val="none" w:sz="0" w:space="0" w:color="auto"/>
                    <w:bottom w:val="none" w:sz="0" w:space="0" w:color="auto"/>
                    <w:right w:val="none" w:sz="0" w:space="0" w:color="auto"/>
                  </w:divBdr>
                  <w:divsChild>
                    <w:div w:id="2078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4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86373">
      <w:bodyDiv w:val="1"/>
      <w:marLeft w:val="0"/>
      <w:marRight w:val="0"/>
      <w:marTop w:val="0"/>
      <w:marBottom w:val="0"/>
      <w:divBdr>
        <w:top w:val="none" w:sz="0" w:space="0" w:color="auto"/>
        <w:left w:val="none" w:sz="0" w:space="0" w:color="auto"/>
        <w:bottom w:val="none" w:sz="0" w:space="0" w:color="auto"/>
        <w:right w:val="none" w:sz="0" w:space="0" w:color="auto"/>
      </w:divBdr>
      <w:divsChild>
        <w:div w:id="2108236573">
          <w:marLeft w:val="0"/>
          <w:marRight w:val="0"/>
          <w:marTop w:val="0"/>
          <w:marBottom w:val="0"/>
          <w:divBdr>
            <w:top w:val="none" w:sz="0" w:space="0" w:color="auto"/>
            <w:left w:val="none" w:sz="0" w:space="0" w:color="auto"/>
            <w:bottom w:val="none" w:sz="0" w:space="0" w:color="auto"/>
            <w:right w:val="none" w:sz="0" w:space="0" w:color="auto"/>
          </w:divBdr>
          <w:divsChild>
            <w:div w:id="1684935925">
              <w:marLeft w:val="0"/>
              <w:marRight w:val="0"/>
              <w:marTop w:val="0"/>
              <w:marBottom w:val="0"/>
              <w:divBdr>
                <w:top w:val="none" w:sz="0" w:space="0" w:color="auto"/>
                <w:left w:val="none" w:sz="0" w:space="0" w:color="auto"/>
                <w:bottom w:val="none" w:sz="0" w:space="0" w:color="auto"/>
                <w:right w:val="none" w:sz="0" w:space="0" w:color="auto"/>
              </w:divBdr>
              <w:divsChild>
                <w:div w:id="1366253217">
                  <w:marLeft w:val="0"/>
                  <w:marRight w:val="0"/>
                  <w:marTop w:val="0"/>
                  <w:marBottom w:val="0"/>
                  <w:divBdr>
                    <w:top w:val="none" w:sz="0" w:space="0" w:color="auto"/>
                    <w:left w:val="none" w:sz="0" w:space="0" w:color="auto"/>
                    <w:bottom w:val="none" w:sz="0" w:space="0" w:color="auto"/>
                    <w:right w:val="none" w:sz="0" w:space="0" w:color="auto"/>
                  </w:divBdr>
                  <w:divsChild>
                    <w:div w:id="13383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27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14603">
      <w:bodyDiv w:val="1"/>
      <w:marLeft w:val="0"/>
      <w:marRight w:val="0"/>
      <w:marTop w:val="0"/>
      <w:marBottom w:val="0"/>
      <w:divBdr>
        <w:top w:val="none" w:sz="0" w:space="0" w:color="auto"/>
        <w:left w:val="none" w:sz="0" w:space="0" w:color="auto"/>
        <w:bottom w:val="none" w:sz="0" w:space="0" w:color="auto"/>
        <w:right w:val="none" w:sz="0" w:space="0" w:color="auto"/>
      </w:divBdr>
      <w:divsChild>
        <w:div w:id="2067603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367717">
      <w:bodyDiv w:val="1"/>
      <w:marLeft w:val="0"/>
      <w:marRight w:val="0"/>
      <w:marTop w:val="0"/>
      <w:marBottom w:val="0"/>
      <w:divBdr>
        <w:top w:val="none" w:sz="0" w:space="0" w:color="auto"/>
        <w:left w:val="none" w:sz="0" w:space="0" w:color="auto"/>
        <w:bottom w:val="none" w:sz="0" w:space="0" w:color="auto"/>
        <w:right w:val="none" w:sz="0" w:space="0" w:color="auto"/>
      </w:divBdr>
      <w:divsChild>
        <w:div w:id="118089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105644">
      <w:bodyDiv w:val="1"/>
      <w:marLeft w:val="0"/>
      <w:marRight w:val="0"/>
      <w:marTop w:val="0"/>
      <w:marBottom w:val="0"/>
      <w:divBdr>
        <w:top w:val="none" w:sz="0" w:space="0" w:color="auto"/>
        <w:left w:val="none" w:sz="0" w:space="0" w:color="auto"/>
        <w:bottom w:val="none" w:sz="0" w:space="0" w:color="auto"/>
        <w:right w:val="none" w:sz="0" w:space="0" w:color="auto"/>
      </w:divBdr>
      <w:divsChild>
        <w:div w:id="494687834">
          <w:marLeft w:val="0"/>
          <w:marRight w:val="0"/>
          <w:marTop w:val="0"/>
          <w:marBottom w:val="0"/>
          <w:divBdr>
            <w:top w:val="none" w:sz="0" w:space="0" w:color="auto"/>
            <w:left w:val="none" w:sz="0" w:space="0" w:color="auto"/>
            <w:bottom w:val="none" w:sz="0" w:space="0" w:color="auto"/>
            <w:right w:val="none" w:sz="0" w:space="0" w:color="auto"/>
          </w:divBdr>
          <w:divsChild>
            <w:div w:id="1056394573">
              <w:marLeft w:val="0"/>
              <w:marRight w:val="0"/>
              <w:marTop w:val="0"/>
              <w:marBottom w:val="0"/>
              <w:divBdr>
                <w:top w:val="none" w:sz="0" w:space="0" w:color="auto"/>
                <w:left w:val="none" w:sz="0" w:space="0" w:color="auto"/>
                <w:bottom w:val="none" w:sz="0" w:space="0" w:color="auto"/>
                <w:right w:val="none" w:sz="0" w:space="0" w:color="auto"/>
              </w:divBdr>
              <w:divsChild>
                <w:div w:id="557783757">
                  <w:marLeft w:val="0"/>
                  <w:marRight w:val="0"/>
                  <w:marTop w:val="0"/>
                  <w:marBottom w:val="0"/>
                  <w:divBdr>
                    <w:top w:val="none" w:sz="0" w:space="0" w:color="auto"/>
                    <w:left w:val="none" w:sz="0" w:space="0" w:color="auto"/>
                    <w:bottom w:val="none" w:sz="0" w:space="0" w:color="auto"/>
                    <w:right w:val="none" w:sz="0" w:space="0" w:color="auto"/>
                  </w:divBdr>
                  <w:divsChild>
                    <w:div w:id="21283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062131">
      <w:bodyDiv w:val="1"/>
      <w:marLeft w:val="0"/>
      <w:marRight w:val="0"/>
      <w:marTop w:val="0"/>
      <w:marBottom w:val="0"/>
      <w:divBdr>
        <w:top w:val="none" w:sz="0" w:space="0" w:color="auto"/>
        <w:left w:val="none" w:sz="0" w:space="0" w:color="auto"/>
        <w:bottom w:val="none" w:sz="0" w:space="0" w:color="auto"/>
        <w:right w:val="none" w:sz="0" w:space="0" w:color="auto"/>
      </w:divBdr>
      <w:divsChild>
        <w:div w:id="110680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81739">
      <w:bodyDiv w:val="1"/>
      <w:marLeft w:val="0"/>
      <w:marRight w:val="0"/>
      <w:marTop w:val="0"/>
      <w:marBottom w:val="0"/>
      <w:divBdr>
        <w:top w:val="none" w:sz="0" w:space="0" w:color="auto"/>
        <w:left w:val="none" w:sz="0" w:space="0" w:color="auto"/>
        <w:bottom w:val="none" w:sz="0" w:space="0" w:color="auto"/>
        <w:right w:val="none" w:sz="0" w:space="0" w:color="auto"/>
      </w:divBdr>
      <w:divsChild>
        <w:div w:id="39049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5906">
      <w:bodyDiv w:val="1"/>
      <w:marLeft w:val="0"/>
      <w:marRight w:val="0"/>
      <w:marTop w:val="0"/>
      <w:marBottom w:val="0"/>
      <w:divBdr>
        <w:top w:val="none" w:sz="0" w:space="0" w:color="auto"/>
        <w:left w:val="none" w:sz="0" w:space="0" w:color="auto"/>
        <w:bottom w:val="none" w:sz="0" w:space="0" w:color="auto"/>
        <w:right w:val="none" w:sz="0" w:space="0" w:color="auto"/>
      </w:divBdr>
      <w:divsChild>
        <w:div w:id="1296525580">
          <w:marLeft w:val="0"/>
          <w:marRight w:val="0"/>
          <w:marTop w:val="0"/>
          <w:marBottom w:val="0"/>
          <w:divBdr>
            <w:top w:val="none" w:sz="0" w:space="0" w:color="auto"/>
            <w:left w:val="none" w:sz="0" w:space="0" w:color="auto"/>
            <w:bottom w:val="none" w:sz="0" w:space="0" w:color="auto"/>
            <w:right w:val="none" w:sz="0" w:space="0" w:color="auto"/>
          </w:divBdr>
          <w:divsChild>
            <w:div w:id="818233864">
              <w:marLeft w:val="0"/>
              <w:marRight w:val="0"/>
              <w:marTop w:val="0"/>
              <w:marBottom w:val="0"/>
              <w:divBdr>
                <w:top w:val="none" w:sz="0" w:space="0" w:color="auto"/>
                <w:left w:val="none" w:sz="0" w:space="0" w:color="auto"/>
                <w:bottom w:val="none" w:sz="0" w:space="0" w:color="auto"/>
                <w:right w:val="none" w:sz="0" w:space="0" w:color="auto"/>
              </w:divBdr>
              <w:divsChild>
                <w:div w:id="7753565">
                  <w:marLeft w:val="0"/>
                  <w:marRight w:val="0"/>
                  <w:marTop w:val="0"/>
                  <w:marBottom w:val="0"/>
                  <w:divBdr>
                    <w:top w:val="none" w:sz="0" w:space="0" w:color="auto"/>
                    <w:left w:val="none" w:sz="0" w:space="0" w:color="auto"/>
                    <w:bottom w:val="none" w:sz="0" w:space="0" w:color="auto"/>
                    <w:right w:val="none" w:sz="0" w:space="0" w:color="auto"/>
                  </w:divBdr>
                  <w:divsChild>
                    <w:div w:id="14333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812358">
      <w:bodyDiv w:val="1"/>
      <w:marLeft w:val="0"/>
      <w:marRight w:val="0"/>
      <w:marTop w:val="0"/>
      <w:marBottom w:val="0"/>
      <w:divBdr>
        <w:top w:val="none" w:sz="0" w:space="0" w:color="auto"/>
        <w:left w:val="none" w:sz="0" w:space="0" w:color="auto"/>
        <w:bottom w:val="none" w:sz="0" w:space="0" w:color="auto"/>
        <w:right w:val="none" w:sz="0" w:space="0" w:color="auto"/>
      </w:divBdr>
      <w:divsChild>
        <w:div w:id="1488204180">
          <w:marLeft w:val="0"/>
          <w:marRight w:val="0"/>
          <w:marTop w:val="0"/>
          <w:marBottom w:val="0"/>
          <w:divBdr>
            <w:top w:val="none" w:sz="0" w:space="0" w:color="auto"/>
            <w:left w:val="none" w:sz="0" w:space="0" w:color="auto"/>
            <w:bottom w:val="none" w:sz="0" w:space="0" w:color="auto"/>
            <w:right w:val="none" w:sz="0" w:space="0" w:color="auto"/>
          </w:divBdr>
          <w:divsChild>
            <w:div w:id="1627852643">
              <w:marLeft w:val="0"/>
              <w:marRight w:val="0"/>
              <w:marTop w:val="0"/>
              <w:marBottom w:val="0"/>
              <w:divBdr>
                <w:top w:val="none" w:sz="0" w:space="0" w:color="auto"/>
                <w:left w:val="none" w:sz="0" w:space="0" w:color="auto"/>
                <w:bottom w:val="none" w:sz="0" w:space="0" w:color="auto"/>
                <w:right w:val="none" w:sz="0" w:space="0" w:color="auto"/>
              </w:divBdr>
              <w:divsChild>
                <w:div w:id="1764835261">
                  <w:marLeft w:val="0"/>
                  <w:marRight w:val="0"/>
                  <w:marTop w:val="0"/>
                  <w:marBottom w:val="0"/>
                  <w:divBdr>
                    <w:top w:val="none" w:sz="0" w:space="0" w:color="auto"/>
                    <w:left w:val="none" w:sz="0" w:space="0" w:color="auto"/>
                    <w:bottom w:val="none" w:sz="0" w:space="0" w:color="auto"/>
                    <w:right w:val="none" w:sz="0" w:space="0" w:color="auto"/>
                  </w:divBdr>
                  <w:divsChild>
                    <w:div w:id="7895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2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754907">
      <w:bodyDiv w:val="1"/>
      <w:marLeft w:val="0"/>
      <w:marRight w:val="0"/>
      <w:marTop w:val="0"/>
      <w:marBottom w:val="0"/>
      <w:divBdr>
        <w:top w:val="none" w:sz="0" w:space="0" w:color="auto"/>
        <w:left w:val="none" w:sz="0" w:space="0" w:color="auto"/>
        <w:bottom w:val="none" w:sz="0" w:space="0" w:color="auto"/>
        <w:right w:val="none" w:sz="0" w:space="0" w:color="auto"/>
      </w:divBdr>
      <w:divsChild>
        <w:div w:id="119965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485214">
      <w:bodyDiv w:val="1"/>
      <w:marLeft w:val="0"/>
      <w:marRight w:val="0"/>
      <w:marTop w:val="0"/>
      <w:marBottom w:val="0"/>
      <w:divBdr>
        <w:top w:val="none" w:sz="0" w:space="0" w:color="auto"/>
        <w:left w:val="none" w:sz="0" w:space="0" w:color="auto"/>
        <w:bottom w:val="none" w:sz="0" w:space="0" w:color="auto"/>
        <w:right w:val="none" w:sz="0" w:space="0" w:color="auto"/>
      </w:divBdr>
      <w:divsChild>
        <w:div w:id="526140642">
          <w:marLeft w:val="0"/>
          <w:marRight w:val="0"/>
          <w:marTop w:val="0"/>
          <w:marBottom w:val="0"/>
          <w:divBdr>
            <w:top w:val="none" w:sz="0" w:space="0" w:color="auto"/>
            <w:left w:val="none" w:sz="0" w:space="0" w:color="auto"/>
            <w:bottom w:val="none" w:sz="0" w:space="0" w:color="auto"/>
            <w:right w:val="none" w:sz="0" w:space="0" w:color="auto"/>
          </w:divBdr>
          <w:divsChild>
            <w:div w:id="558978095">
              <w:marLeft w:val="0"/>
              <w:marRight w:val="0"/>
              <w:marTop w:val="0"/>
              <w:marBottom w:val="0"/>
              <w:divBdr>
                <w:top w:val="none" w:sz="0" w:space="0" w:color="auto"/>
                <w:left w:val="none" w:sz="0" w:space="0" w:color="auto"/>
                <w:bottom w:val="none" w:sz="0" w:space="0" w:color="auto"/>
                <w:right w:val="none" w:sz="0" w:space="0" w:color="auto"/>
              </w:divBdr>
              <w:divsChild>
                <w:div w:id="1607271058">
                  <w:marLeft w:val="0"/>
                  <w:marRight w:val="0"/>
                  <w:marTop w:val="0"/>
                  <w:marBottom w:val="0"/>
                  <w:divBdr>
                    <w:top w:val="none" w:sz="0" w:space="0" w:color="auto"/>
                    <w:left w:val="none" w:sz="0" w:space="0" w:color="auto"/>
                    <w:bottom w:val="none" w:sz="0" w:space="0" w:color="auto"/>
                    <w:right w:val="none" w:sz="0" w:space="0" w:color="auto"/>
                  </w:divBdr>
                  <w:divsChild>
                    <w:div w:id="16433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5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903785">
      <w:bodyDiv w:val="1"/>
      <w:marLeft w:val="0"/>
      <w:marRight w:val="0"/>
      <w:marTop w:val="0"/>
      <w:marBottom w:val="0"/>
      <w:divBdr>
        <w:top w:val="none" w:sz="0" w:space="0" w:color="auto"/>
        <w:left w:val="none" w:sz="0" w:space="0" w:color="auto"/>
        <w:bottom w:val="none" w:sz="0" w:space="0" w:color="auto"/>
        <w:right w:val="none" w:sz="0" w:space="0" w:color="auto"/>
      </w:divBdr>
    </w:div>
    <w:div w:id="947852211">
      <w:bodyDiv w:val="1"/>
      <w:marLeft w:val="0"/>
      <w:marRight w:val="0"/>
      <w:marTop w:val="0"/>
      <w:marBottom w:val="0"/>
      <w:divBdr>
        <w:top w:val="none" w:sz="0" w:space="0" w:color="auto"/>
        <w:left w:val="none" w:sz="0" w:space="0" w:color="auto"/>
        <w:bottom w:val="none" w:sz="0" w:space="0" w:color="auto"/>
        <w:right w:val="none" w:sz="0" w:space="0" w:color="auto"/>
      </w:divBdr>
      <w:divsChild>
        <w:div w:id="209080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648057">
      <w:bodyDiv w:val="1"/>
      <w:marLeft w:val="0"/>
      <w:marRight w:val="0"/>
      <w:marTop w:val="0"/>
      <w:marBottom w:val="0"/>
      <w:divBdr>
        <w:top w:val="none" w:sz="0" w:space="0" w:color="auto"/>
        <w:left w:val="none" w:sz="0" w:space="0" w:color="auto"/>
        <w:bottom w:val="none" w:sz="0" w:space="0" w:color="auto"/>
        <w:right w:val="none" w:sz="0" w:space="0" w:color="auto"/>
      </w:divBdr>
      <w:divsChild>
        <w:div w:id="50668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785737">
      <w:bodyDiv w:val="1"/>
      <w:marLeft w:val="0"/>
      <w:marRight w:val="0"/>
      <w:marTop w:val="0"/>
      <w:marBottom w:val="0"/>
      <w:divBdr>
        <w:top w:val="none" w:sz="0" w:space="0" w:color="auto"/>
        <w:left w:val="none" w:sz="0" w:space="0" w:color="auto"/>
        <w:bottom w:val="none" w:sz="0" w:space="0" w:color="auto"/>
        <w:right w:val="none" w:sz="0" w:space="0" w:color="auto"/>
      </w:divBdr>
      <w:divsChild>
        <w:div w:id="13337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026248">
      <w:bodyDiv w:val="1"/>
      <w:marLeft w:val="0"/>
      <w:marRight w:val="0"/>
      <w:marTop w:val="0"/>
      <w:marBottom w:val="0"/>
      <w:divBdr>
        <w:top w:val="none" w:sz="0" w:space="0" w:color="auto"/>
        <w:left w:val="none" w:sz="0" w:space="0" w:color="auto"/>
        <w:bottom w:val="none" w:sz="0" w:space="0" w:color="auto"/>
        <w:right w:val="none" w:sz="0" w:space="0" w:color="auto"/>
      </w:divBdr>
    </w:div>
    <w:div w:id="1164396554">
      <w:bodyDiv w:val="1"/>
      <w:marLeft w:val="0"/>
      <w:marRight w:val="0"/>
      <w:marTop w:val="0"/>
      <w:marBottom w:val="0"/>
      <w:divBdr>
        <w:top w:val="none" w:sz="0" w:space="0" w:color="auto"/>
        <w:left w:val="none" w:sz="0" w:space="0" w:color="auto"/>
        <w:bottom w:val="none" w:sz="0" w:space="0" w:color="auto"/>
        <w:right w:val="none" w:sz="0" w:space="0" w:color="auto"/>
      </w:divBdr>
    </w:div>
    <w:div w:id="1179346520">
      <w:bodyDiv w:val="1"/>
      <w:marLeft w:val="0"/>
      <w:marRight w:val="0"/>
      <w:marTop w:val="0"/>
      <w:marBottom w:val="0"/>
      <w:divBdr>
        <w:top w:val="none" w:sz="0" w:space="0" w:color="auto"/>
        <w:left w:val="none" w:sz="0" w:space="0" w:color="auto"/>
        <w:bottom w:val="none" w:sz="0" w:space="0" w:color="auto"/>
        <w:right w:val="none" w:sz="0" w:space="0" w:color="auto"/>
      </w:divBdr>
      <w:divsChild>
        <w:div w:id="141682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4644">
      <w:bodyDiv w:val="1"/>
      <w:marLeft w:val="0"/>
      <w:marRight w:val="0"/>
      <w:marTop w:val="0"/>
      <w:marBottom w:val="0"/>
      <w:divBdr>
        <w:top w:val="none" w:sz="0" w:space="0" w:color="auto"/>
        <w:left w:val="none" w:sz="0" w:space="0" w:color="auto"/>
        <w:bottom w:val="none" w:sz="0" w:space="0" w:color="auto"/>
        <w:right w:val="none" w:sz="0" w:space="0" w:color="auto"/>
      </w:divBdr>
      <w:divsChild>
        <w:div w:id="1518541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063259">
      <w:bodyDiv w:val="1"/>
      <w:marLeft w:val="0"/>
      <w:marRight w:val="0"/>
      <w:marTop w:val="0"/>
      <w:marBottom w:val="0"/>
      <w:divBdr>
        <w:top w:val="none" w:sz="0" w:space="0" w:color="auto"/>
        <w:left w:val="none" w:sz="0" w:space="0" w:color="auto"/>
        <w:bottom w:val="none" w:sz="0" w:space="0" w:color="auto"/>
        <w:right w:val="none" w:sz="0" w:space="0" w:color="auto"/>
      </w:divBdr>
      <w:divsChild>
        <w:div w:id="1117943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210604">
      <w:bodyDiv w:val="1"/>
      <w:marLeft w:val="0"/>
      <w:marRight w:val="0"/>
      <w:marTop w:val="0"/>
      <w:marBottom w:val="0"/>
      <w:divBdr>
        <w:top w:val="none" w:sz="0" w:space="0" w:color="auto"/>
        <w:left w:val="none" w:sz="0" w:space="0" w:color="auto"/>
        <w:bottom w:val="none" w:sz="0" w:space="0" w:color="auto"/>
        <w:right w:val="none" w:sz="0" w:space="0" w:color="auto"/>
      </w:divBdr>
      <w:divsChild>
        <w:div w:id="783234498">
          <w:marLeft w:val="0"/>
          <w:marRight w:val="0"/>
          <w:marTop w:val="0"/>
          <w:marBottom w:val="0"/>
          <w:divBdr>
            <w:top w:val="none" w:sz="0" w:space="0" w:color="auto"/>
            <w:left w:val="none" w:sz="0" w:space="0" w:color="auto"/>
            <w:bottom w:val="none" w:sz="0" w:space="0" w:color="auto"/>
            <w:right w:val="none" w:sz="0" w:space="0" w:color="auto"/>
          </w:divBdr>
          <w:divsChild>
            <w:div w:id="373579871">
              <w:marLeft w:val="0"/>
              <w:marRight w:val="0"/>
              <w:marTop w:val="0"/>
              <w:marBottom w:val="0"/>
              <w:divBdr>
                <w:top w:val="none" w:sz="0" w:space="0" w:color="auto"/>
                <w:left w:val="none" w:sz="0" w:space="0" w:color="auto"/>
                <w:bottom w:val="none" w:sz="0" w:space="0" w:color="auto"/>
                <w:right w:val="none" w:sz="0" w:space="0" w:color="auto"/>
              </w:divBdr>
              <w:divsChild>
                <w:div w:id="849830949">
                  <w:marLeft w:val="0"/>
                  <w:marRight w:val="0"/>
                  <w:marTop w:val="0"/>
                  <w:marBottom w:val="0"/>
                  <w:divBdr>
                    <w:top w:val="none" w:sz="0" w:space="0" w:color="auto"/>
                    <w:left w:val="none" w:sz="0" w:space="0" w:color="auto"/>
                    <w:bottom w:val="none" w:sz="0" w:space="0" w:color="auto"/>
                    <w:right w:val="none" w:sz="0" w:space="0" w:color="auto"/>
                  </w:divBdr>
                  <w:divsChild>
                    <w:div w:id="20654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04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972470">
      <w:bodyDiv w:val="1"/>
      <w:marLeft w:val="0"/>
      <w:marRight w:val="0"/>
      <w:marTop w:val="0"/>
      <w:marBottom w:val="0"/>
      <w:divBdr>
        <w:top w:val="none" w:sz="0" w:space="0" w:color="auto"/>
        <w:left w:val="none" w:sz="0" w:space="0" w:color="auto"/>
        <w:bottom w:val="none" w:sz="0" w:space="0" w:color="auto"/>
        <w:right w:val="none" w:sz="0" w:space="0" w:color="auto"/>
      </w:divBdr>
      <w:divsChild>
        <w:div w:id="159875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339667">
          <w:marLeft w:val="0"/>
          <w:marRight w:val="0"/>
          <w:marTop w:val="0"/>
          <w:marBottom w:val="0"/>
          <w:divBdr>
            <w:top w:val="none" w:sz="0" w:space="0" w:color="auto"/>
            <w:left w:val="none" w:sz="0" w:space="0" w:color="auto"/>
            <w:bottom w:val="none" w:sz="0" w:space="0" w:color="auto"/>
            <w:right w:val="none" w:sz="0" w:space="0" w:color="auto"/>
          </w:divBdr>
          <w:divsChild>
            <w:div w:id="1210653269">
              <w:marLeft w:val="0"/>
              <w:marRight w:val="0"/>
              <w:marTop w:val="0"/>
              <w:marBottom w:val="0"/>
              <w:divBdr>
                <w:top w:val="none" w:sz="0" w:space="0" w:color="auto"/>
                <w:left w:val="none" w:sz="0" w:space="0" w:color="auto"/>
                <w:bottom w:val="none" w:sz="0" w:space="0" w:color="auto"/>
                <w:right w:val="none" w:sz="0" w:space="0" w:color="auto"/>
              </w:divBdr>
              <w:divsChild>
                <w:div w:id="1694457781">
                  <w:marLeft w:val="0"/>
                  <w:marRight w:val="0"/>
                  <w:marTop w:val="0"/>
                  <w:marBottom w:val="0"/>
                  <w:divBdr>
                    <w:top w:val="none" w:sz="0" w:space="0" w:color="auto"/>
                    <w:left w:val="none" w:sz="0" w:space="0" w:color="auto"/>
                    <w:bottom w:val="none" w:sz="0" w:space="0" w:color="auto"/>
                    <w:right w:val="none" w:sz="0" w:space="0" w:color="auto"/>
                  </w:divBdr>
                  <w:divsChild>
                    <w:div w:id="1071582675">
                      <w:marLeft w:val="0"/>
                      <w:marRight w:val="0"/>
                      <w:marTop w:val="0"/>
                      <w:marBottom w:val="0"/>
                      <w:divBdr>
                        <w:top w:val="none" w:sz="0" w:space="0" w:color="auto"/>
                        <w:left w:val="none" w:sz="0" w:space="0" w:color="auto"/>
                        <w:bottom w:val="none" w:sz="0" w:space="0" w:color="auto"/>
                        <w:right w:val="none" w:sz="0" w:space="0" w:color="auto"/>
                      </w:divBdr>
                      <w:divsChild>
                        <w:div w:id="13579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98910">
      <w:bodyDiv w:val="1"/>
      <w:marLeft w:val="0"/>
      <w:marRight w:val="0"/>
      <w:marTop w:val="0"/>
      <w:marBottom w:val="0"/>
      <w:divBdr>
        <w:top w:val="none" w:sz="0" w:space="0" w:color="auto"/>
        <w:left w:val="none" w:sz="0" w:space="0" w:color="auto"/>
        <w:bottom w:val="none" w:sz="0" w:space="0" w:color="auto"/>
        <w:right w:val="none" w:sz="0" w:space="0" w:color="auto"/>
      </w:divBdr>
      <w:divsChild>
        <w:div w:id="663511392">
          <w:marLeft w:val="0"/>
          <w:marRight w:val="0"/>
          <w:marTop w:val="0"/>
          <w:marBottom w:val="0"/>
          <w:divBdr>
            <w:top w:val="none" w:sz="0" w:space="0" w:color="auto"/>
            <w:left w:val="none" w:sz="0" w:space="0" w:color="auto"/>
            <w:bottom w:val="none" w:sz="0" w:space="0" w:color="auto"/>
            <w:right w:val="none" w:sz="0" w:space="0" w:color="auto"/>
          </w:divBdr>
          <w:divsChild>
            <w:div w:id="835606815">
              <w:marLeft w:val="0"/>
              <w:marRight w:val="0"/>
              <w:marTop w:val="0"/>
              <w:marBottom w:val="0"/>
              <w:divBdr>
                <w:top w:val="none" w:sz="0" w:space="0" w:color="auto"/>
                <w:left w:val="none" w:sz="0" w:space="0" w:color="auto"/>
                <w:bottom w:val="none" w:sz="0" w:space="0" w:color="auto"/>
                <w:right w:val="none" w:sz="0" w:space="0" w:color="auto"/>
              </w:divBdr>
              <w:divsChild>
                <w:div w:id="223639692">
                  <w:marLeft w:val="0"/>
                  <w:marRight w:val="0"/>
                  <w:marTop w:val="0"/>
                  <w:marBottom w:val="0"/>
                  <w:divBdr>
                    <w:top w:val="none" w:sz="0" w:space="0" w:color="auto"/>
                    <w:left w:val="none" w:sz="0" w:space="0" w:color="auto"/>
                    <w:bottom w:val="none" w:sz="0" w:space="0" w:color="auto"/>
                    <w:right w:val="none" w:sz="0" w:space="0" w:color="auto"/>
                  </w:divBdr>
                  <w:divsChild>
                    <w:div w:id="13470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00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124890">
      <w:bodyDiv w:val="1"/>
      <w:marLeft w:val="0"/>
      <w:marRight w:val="0"/>
      <w:marTop w:val="0"/>
      <w:marBottom w:val="0"/>
      <w:divBdr>
        <w:top w:val="none" w:sz="0" w:space="0" w:color="auto"/>
        <w:left w:val="none" w:sz="0" w:space="0" w:color="auto"/>
        <w:bottom w:val="none" w:sz="0" w:space="0" w:color="auto"/>
        <w:right w:val="none" w:sz="0" w:space="0" w:color="auto"/>
      </w:divBdr>
    </w:div>
    <w:div w:id="1686590089">
      <w:bodyDiv w:val="1"/>
      <w:marLeft w:val="0"/>
      <w:marRight w:val="0"/>
      <w:marTop w:val="0"/>
      <w:marBottom w:val="0"/>
      <w:divBdr>
        <w:top w:val="none" w:sz="0" w:space="0" w:color="auto"/>
        <w:left w:val="none" w:sz="0" w:space="0" w:color="auto"/>
        <w:bottom w:val="none" w:sz="0" w:space="0" w:color="auto"/>
        <w:right w:val="none" w:sz="0" w:space="0" w:color="auto"/>
      </w:divBdr>
      <w:divsChild>
        <w:div w:id="65654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671654">
      <w:bodyDiv w:val="1"/>
      <w:marLeft w:val="0"/>
      <w:marRight w:val="0"/>
      <w:marTop w:val="0"/>
      <w:marBottom w:val="0"/>
      <w:divBdr>
        <w:top w:val="none" w:sz="0" w:space="0" w:color="auto"/>
        <w:left w:val="none" w:sz="0" w:space="0" w:color="auto"/>
        <w:bottom w:val="none" w:sz="0" w:space="0" w:color="auto"/>
        <w:right w:val="none" w:sz="0" w:space="0" w:color="auto"/>
      </w:divBdr>
      <w:divsChild>
        <w:div w:id="1376388271">
          <w:marLeft w:val="0"/>
          <w:marRight w:val="0"/>
          <w:marTop w:val="0"/>
          <w:marBottom w:val="0"/>
          <w:divBdr>
            <w:top w:val="none" w:sz="0" w:space="0" w:color="auto"/>
            <w:left w:val="none" w:sz="0" w:space="0" w:color="auto"/>
            <w:bottom w:val="none" w:sz="0" w:space="0" w:color="auto"/>
            <w:right w:val="none" w:sz="0" w:space="0" w:color="auto"/>
          </w:divBdr>
          <w:divsChild>
            <w:div w:id="708991541">
              <w:marLeft w:val="0"/>
              <w:marRight w:val="0"/>
              <w:marTop w:val="0"/>
              <w:marBottom w:val="0"/>
              <w:divBdr>
                <w:top w:val="none" w:sz="0" w:space="0" w:color="auto"/>
                <w:left w:val="none" w:sz="0" w:space="0" w:color="auto"/>
                <w:bottom w:val="none" w:sz="0" w:space="0" w:color="auto"/>
                <w:right w:val="none" w:sz="0" w:space="0" w:color="auto"/>
              </w:divBdr>
              <w:divsChild>
                <w:div w:id="525796367">
                  <w:marLeft w:val="0"/>
                  <w:marRight w:val="0"/>
                  <w:marTop w:val="0"/>
                  <w:marBottom w:val="0"/>
                  <w:divBdr>
                    <w:top w:val="none" w:sz="0" w:space="0" w:color="auto"/>
                    <w:left w:val="none" w:sz="0" w:space="0" w:color="auto"/>
                    <w:bottom w:val="none" w:sz="0" w:space="0" w:color="auto"/>
                    <w:right w:val="none" w:sz="0" w:space="0" w:color="auto"/>
                  </w:divBdr>
                  <w:divsChild>
                    <w:div w:id="13115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107493">
      <w:bodyDiv w:val="1"/>
      <w:marLeft w:val="0"/>
      <w:marRight w:val="0"/>
      <w:marTop w:val="0"/>
      <w:marBottom w:val="0"/>
      <w:divBdr>
        <w:top w:val="none" w:sz="0" w:space="0" w:color="auto"/>
        <w:left w:val="none" w:sz="0" w:space="0" w:color="auto"/>
        <w:bottom w:val="none" w:sz="0" w:space="0" w:color="auto"/>
        <w:right w:val="none" w:sz="0" w:space="0" w:color="auto"/>
      </w:divBdr>
      <w:divsChild>
        <w:div w:id="200940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018333">
      <w:bodyDiv w:val="1"/>
      <w:marLeft w:val="0"/>
      <w:marRight w:val="0"/>
      <w:marTop w:val="0"/>
      <w:marBottom w:val="0"/>
      <w:divBdr>
        <w:top w:val="none" w:sz="0" w:space="0" w:color="auto"/>
        <w:left w:val="none" w:sz="0" w:space="0" w:color="auto"/>
        <w:bottom w:val="none" w:sz="0" w:space="0" w:color="auto"/>
        <w:right w:val="none" w:sz="0" w:space="0" w:color="auto"/>
      </w:divBdr>
      <w:divsChild>
        <w:div w:id="53543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900517">
      <w:bodyDiv w:val="1"/>
      <w:marLeft w:val="0"/>
      <w:marRight w:val="0"/>
      <w:marTop w:val="0"/>
      <w:marBottom w:val="0"/>
      <w:divBdr>
        <w:top w:val="none" w:sz="0" w:space="0" w:color="auto"/>
        <w:left w:val="none" w:sz="0" w:space="0" w:color="auto"/>
        <w:bottom w:val="none" w:sz="0" w:space="0" w:color="auto"/>
        <w:right w:val="none" w:sz="0" w:space="0" w:color="auto"/>
      </w:divBdr>
      <w:divsChild>
        <w:div w:id="730689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847626">
      <w:bodyDiv w:val="1"/>
      <w:marLeft w:val="0"/>
      <w:marRight w:val="0"/>
      <w:marTop w:val="0"/>
      <w:marBottom w:val="0"/>
      <w:divBdr>
        <w:top w:val="none" w:sz="0" w:space="0" w:color="auto"/>
        <w:left w:val="none" w:sz="0" w:space="0" w:color="auto"/>
        <w:bottom w:val="none" w:sz="0" w:space="0" w:color="auto"/>
        <w:right w:val="none" w:sz="0" w:space="0" w:color="auto"/>
      </w:divBdr>
      <w:divsChild>
        <w:div w:id="1854415367">
          <w:marLeft w:val="0"/>
          <w:marRight w:val="0"/>
          <w:marTop w:val="0"/>
          <w:marBottom w:val="0"/>
          <w:divBdr>
            <w:top w:val="none" w:sz="0" w:space="0" w:color="auto"/>
            <w:left w:val="none" w:sz="0" w:space="0" w:color="auto"/>
            <w:bottom w:val="none" w:sz="0" w:space="0" w:color="auto"/>
            <w:right w:val="none" w:sz="0" w:space="0" w:color="auto"/>
          </w:divBdr>
          <w:divsChild>
            <w:div w:id="1633096865">
              <w:marLeft w:val="0"/>
              <w:marRight w:val="0"/>
              <w:marTop w:val="0"/>
              <w:marBottom w:val="0"/>
              <w:divBdr>
                <w:top w:val="none" w:sz="0" w:space="0" w:color="auto"/>
                <w:left w:val="none" w:sz="0" w:space="0" w:color="auto"/>
                <w:bottom w:val="none" w:sz="0" w:space="0" w:color="auto"/>
                <w:right w:val="none" w:sz="0" w:space="0" w:color="auto"/>
              </w:divBdr>
              <w:divsChild>
                <w:div w:id="844519636">
                  <w:marLeft w:val="0"/>
                  <w:marRight w:val="0"/>
                  <w:marTop w:val="0"/>
                  <w:marBottom w:val="0"/>
                  <w:divBdr>
                    <w:top w:val="none" w:sz="0" w:space="0" w:color="auto"/>
                    <w:left w:val="none" w:sz="0" w:space="0" w:color="auto"/>
                    <w:bottom w:val="none" w:sz="0" w:space="0" w:color="auto"/>
                    <w:right w:val="none" w:sz="0" w:space="0" w:color="auto"/>
                  </w:divBdr>
                  <w:divsChild>
                    <w:div w:id="15903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0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11286">
      <w:bodyDiv w:val="1"/>
      <w:marLeft w:val="0"/>
      <w:marRight w:val="0"/>
      <w:marTop w:val="0"/>
      <w:marBottom w:val="0"/>
      <w:divBdr>
        <w:top w:val="none" w:sz="0" w:space="0" w:color="auto"/>
        <w:left w:val="none" w:sz="0" w:space="0" w:color="auto"/>
        <w:bottom w:val="none" w:sz="0" w:space="0" w:color="auto"/>
        <w:right w:val="none" w:sz="0" w:space="0" w:color="auto"/>
      </w:divBdr>
      <w:divsChild>
        <w:div w:id="78762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949072">
      <w:bodyDiv w:val="1"/>
      <w:marLeft w:val="0"/>
      <w:marRight w:val="0"/>
      <w:marTop w:val="0"/>
      <w:marBottom w:val="0"/>
      <w:divBdr>
        <w:top w:val="none" w:sz="0" w:space="0" w:color="auto"/>
        <w:left w:val="none" w:sz="0" w:space="0" w:color="auto"/>
        <w:bottom w:val="none" w:sz="0" w:space="0" w:color="auto"/>
        <w:right w:val="none" w:sz="0" w:space="0" w:color="auto"/>
      </w:divBdr>
      <w:divsChild>
        <w:div w:id="872838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270410">
          <w:marLeft w:val="0"/>
          <w:marRight w:val="0"/>
          <w:marTop w:val="0"/>
          <w:marBottom w:val="0"/>
          <w:divBdr>
            <w:top w:val="none" w:sz="0" w:space="0" w:color="auto"/>
            <w:left w:val="none" w:sz="0" w:space="0" w:color="auto"/>
            <w:bottom w:val="none" w:sz="0" w:space="0" w:color="auto"/>
            <w:right w:val="none" w:sz="0" w:space="0" w:color="auto"/>
          </w:divBdr>
          <w:divsChild>
            <w:div w:id="1148862744">
              <w:marLeft w:val="0"/>
              <w:marRight w:val="0"/>
              <w:marTop w:val="0"/>
              <w:marBottom w:val="0"/>
              <w:divBdr>
                <w:top w:val="none" w:sz="0" w:space="0" w:color="auto"/>
                <w:left w:val="none" w:sz="0" w:space="0" w:color="auto"/>
                <w:bottom w:val="none" w:sz="0" w:space="0" w:color="auto"/>
                <w:right w:val="none" w:sz="0" w:space="0" w:color="auto"/>
              </w:divBdr>
              <w:divsChild>
                <w:div w:id="321468245">
                  <w:marLeft w:val="0"/>
                  <w:marRight w:val="0"/>
                  <w:marTop w:val="0"/>
                  <w:marBottom w:val="0"/>
                  <w:divBdr>
                    <w:top w:val="none" w:sz="0" w:space="0" w:color="auto"/>
                    <w:left w:val="none" w:sz="0" w:space="0" w:color="auto"/>
                    <w:bottom w:val="none" w:sz="0" w:space="0" w:color="auto"/>
                    <w:right w:val="none" w:sz="0" w:space="0" w:color="auto"/>
                  </w:divBdr>
                  <w:divsChild>
                    <w:div w:id="1940334305">
                      <w:marLeft w:val="0"/>
                      <w:marRight w:val="0"/>
                      <w:marTop w:val="0"/>
                      <w:marBottom w:val="0"/>
                      <w:divBdr>
                        <w:top w:val="none" w:sz="0" w:space="0" w:color="auto"/>
                        <w:left w:val="none" w:sz="0" w:space="0" w:color="auto"/>
                        <w:bottom w:val="none" w:sz="0" w:space="0" w:color="auto"/>
                        <w:right w:val="none" w:sz="0" w:space="0" w:color="auto"/>
                      </w:divBdr>
                      <w:divsChild>
                        <w:div w:id="1877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10964</Words>
  <Characters>62498</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2026-09-02T11:33:00Z</dcterms:created>
  <dcterms:modified xsi:type="dcterms:W3CDTF">2026-09-02T11:33:00Z</dcterms:modified>
</cp:coreProperties>
</file>