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0" w:after="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4E3629"/>
          <w:sz w:val="52"/>
          <w:szCs w:val="52"/>
        </w:rPr>
        <w:t>Sistemas Operativos II</w:t>
      </w:r>
    </w:p>
    <w:p>
      <w:pPr>
        <w:pStyle w:val="Normal"/>
        <w:pBdr>
          <w:bottom w:val="single" w:sz="8" w:space="8" w:color="A67C52"/>
        </w:pBdr>
        <w:spacing w:before="0" w:after="400"/>
        <w:jc w:val="center"/>
        <w:rPr/>
      </w:pPr>
      <w:r>
        <w:rPr>
          <w:rFonts w:eastAsia="Arial" w:cs="Arial"/>
          <w:color w:val="7B5B3A"/>
          <w:sz w:val="40"/>
          <w:szCs w:val="40"/>
        </w:rPr>
        <w:t>Práctica 3 — Informe 2</w:t>
      </w:r>
    </w:p>
    <w:p>
      <w:pPr>
        <w:pStyle w:val="Normal"/>
        <w:spacing w:before="400" w:after="200"/>
        <w:jc w:val="center"/>
        <w:rPr/>
      </w:pPr>
      <w:r>
        <w:rPr>
          <w:rFonts w:eastAsia="Arial" w:cs="Arial"/>
          <w:color w:val="A67C52"/>
          <w:sz w:val="32"/>
          <w:szCs w:val="32"/>
        </w:rPr>
        <w:t>Solución con mutex y variables de condición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A67C52"/>
          <w:sz w:val="32"/>
          <w:szCs w:val="32"/>
        </w:rPr>
        <w:t>del problema del productor-consumidor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2D2D2D"/>
          <w:sz w:val="26"/>
          <w:szCs w:val="26"/>
        </w:rPr>
        <w:t>Yago Regueira y Rodrigo Ribademar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/>
      </w:pPr>
      <w:r>
        <w:rPr>
          <w:rFonts w:eastAsia="Arial" w:cs="Arial"/>
          <w:color w:val="7B5B3A"/>
          <w:sz w:val="22"/>
          <w:szCs w:val="22"/>
        </w:rPr>
        <w:t>Grado en Ingeniería Informática — USC</w:t>
      </w:r>
    </w:p>
    <w:p>
      <w:pPr>
        <w:pStyle w:val="Heading1"/>
        <w:rPr/>
      </w:pPr>
      <w:r>
        <w:rPr/>
        <w:t>1. Introducción</w:t>
      </w:r>
    </w:p>
    <w:p>
      <w:pPr>
        <w:pStyle w:val="Normal"/>
        <w:spacing w:before="0" w:after="200"/>
        <w:rPr/>
      </w:pPr>
      <w:r>
        <w:rPr/>
        <w:t>En este informe se presenta la solución al problema de las carreras críticas identificadas en el Informe 1, utilizando mutex (pthread_mutex_t) y variables de condición (pthread_cond_t) en lugar de los semáforos con nombre empleados en la Práctica 2.</w:t>
      </w:r>
    </w:p>
    <w:p>
      <w:pPr>
        <w:pStyle w:val="Normal"/>
        <w:spacing w:before="0" w:after="200"/>
        <w:rPr/>
      </w:pPr>
      <w:r>
        <w:rPr/>
        <w:t>El objetivo es comprobar que esta solución elimina por completo las inconsistencias en la variable count, permite que el buffer se llene y vacíe correctamente según la velocidad de cada hilo la cual va variando, y garantiza que las sumas del productor y del consumidor coincidan al finalizar la ejecución.</w:t>
      </w:r>
    </w:p>
    <w:p>
      <w:pPr>
        <w:pStyle w:val="Heading1"/>
        <w:rPr/>
      </w:pPr>
      <w:r>
        <w:rPr/>
        <w:t>2. Compilación y ejecución</w:t>
      </w:r>
    </w:p>
    <w:p>
      <w:pPr>
        <w:pStyle w:val="Normal"/>
        <w:spacing w:before="0" w:after="120"/>
        <w:rPr/>
      </w:pPr>
      <w:r>
        <w:rPr/>
        <w:t>El programa se compila con gcc:</w:t>
      </w:r>
    </w:p>
    <w:p>
      <w:pPr>
        <w:pStyle w:val="Normal"/>
        <w:spacing w:before="0" w:after="120"/>
        <w:ind w:left="720"/>
        <w:rPr/>
      </w:pPr>
      <w:r>
        <w:rPr>
          <w:rFonts w:eastAsia="Courier New" w:cs="Courier New" w:ascii="Courier New" w:hAnsi="Courier New"/>
          <w:color w:val="4E3629"/>
          <w:sz w:val="22"/>
          <w:szCs w:val="22"/>
        </w:rPr>
        <w:t xml:space="preserve">gcc mutex_cons_prod.c -o mutex_cons_prod </w:t>
      </w:r>
    </w:p>
    <w:p>
      <w:pPr>
        <w:pStyle w:val="Normal"/>
        <w:spacing w:before="0" w:after="120"/>
        <w:rPr/>
      </w:pPr>
      <w:r>
        <w:rPr/>
        <w:t>Para ejecutarlo:</w:t>
      </w:r>
    </w:p>
    <w:p>
      <w:pPr>
        <w:pStyle w:val="Normal"/>
        <w:spacing w:before="0" w:after="200"/>
        <w:ind w:left="720"/>
        <w:rPr/>
      </w:pPr>
      <w:r>
        <w:rPr>
          <w:rFonts w:eastAsia="Courier New" w:cs="Courier New" w:ascii="Courier New" w:hAnsi="Courier New"/>
          <w:color w:val="4E3629"/>
          <w:sz w:val="22"/>
          <w:szCs w:val="22"/>
        </w:rPr>
        <w:t>./mutex_cons_prod</w:t>
      </w:r>
    </w:p>
    <w:p>
      <w:pPr>
        <w:pStyle w:val="Normal"/>
        <w:spacing w:before="0" w:after="200"/>
        <w:rPr/>
      </w:pPr>
      <w:r>
        <w:rPr/>
        <w:t>Se utliza el mismo fichero que en el informe 1 de esta práctica.</w:t>
      </w:r>
    </w:p>
    <w:p>
      <w:pPr>
        <w:pStyle w:val="Heading1"/>
        <w:rPr/>
      </w:pPr>
      <w:r>
        <w:rPr/>
        <w:t>3. Diseño de la solución</w:t>
      </w:r>
    </w:p>
    <w:p>
      <w:pPr>
        <w:pStyle w:val="Heading2"/>
        <w:rPr/>
      </w:pPr>
      <w:r>
        <w:rPr/>
        <w:t>3.1. Mutex y variables de condición vs semáforos</w:t>
      </w:r>
    </w:p>
    <w:p>
      <w:pPr>
        <w:pStyle w:val="Normal"/>
        <w:spacing w:before="0" w:after="200"/>
        <w:rPr/>
      </w:pPr>
      <w:r>
        <w:rPr/>
        <w:t>En la Práctica 2 se utilizaban tres semáforos con nombre (</w:t>
      </w:r>
      <w:r>
        <w:rPr>
          <w:rFonts w:ascii="Courier New" w:hAnsi="Courier New"/>
          <w:b w:val="false"/>
          <w:bCs w:val="false"/>
          <w:sz w:val="22"/>
          <w:szCs w:val="22"/>
        </w:rPr>
        <w:t>vacias</w:t>
      </w:r>
      <w:r>
        <w:rPr/>
        <w:t xml:space="preserve">, </w:t>
      </w:r>
      <w:r>
        <w:rPr>
          <w:rFonts w:ascii="Courier New" w:hAnsi="Courier New"/>
          <w:b w:val="false"/>
          <w:bCs w:val="false"/>
          <w:sz w:val="22"/>
          <w:szCs w:val="22"/>
        </w:rPr>
        <w:t>llenas</w:t>
      </w:r>
      <w:r>
        <w:rPr/>
        <w:t xml:space="preserve">, </w:t>
      </w:r>
      <w:r>
        <w:rPr>
          <w:rFonts w:ascii="Courier New" w:hAnsi="Courier New"/>
          <w:b w:val="false"/>
          <w:bCs w:val="false"/>
          <w:sz w:val="22"/>
          <w:szCs w:val="22"/>
        </w:rPr>
        <w:t>mutex</w:t>
      </w:r>
      <w:r>
        <w:rPr/>
        <w:t xml:space="preserve">) creados con </w:t>
      </w:r>
      <w:r>
        <w:rPr>
          <w:rFonts w:ascii="Courier New" w:hAnsi="Courier New"/>
          <w:sz w:val="22"/>
          <w:szCs w:val="22"/>
        </w:rPr>
        <w:t>sem_open</w:t>
      </w:r>
      <w:r>
        <w:rPr/>
        <w:t xml:space="preserve"> y sincronizando las esperas con </w:t>
      </w:r>
      <w:r>
        <w:rPr>
          <w:rFonts w:ascii="Courier New" w:hAnsi="Courier New"/>
          <w:sz w:val="22"/>
          <w:szCs w:val="22"/>
        </w:rPr>
        <w:t>sem_wait/sem_post</w:t>
      </w:r>
      <w:r>
        <w:rPr/>
        <w:t xml:space="preserve">. Estos semáforos se mantenían en /los archivos de nuestro Sistema Operativo por lo que era necesario llamar a </w:t>
      </w:r>
      <w:r>
        <w:rPr>
          <w:rFonts w:ascii="Courier New" w:hAnsi="Courier New"/>
          <w:sz w:val="22"/>
          <w:szCs w:val="22"/>
        </w:rPr>
        <w:t>sem_unlink</w:t>
      </w:r>
      <w:r>
        <w:rPr>
          <w:sz w:val="22"/>
          <w:szCs w:val="22"/>
        </w:rPr>
        <w:t xml:space="preserve"> </w:t>
      </w:r>
      <w:r>
        <w:rPr/>
        <w:t>al inicio del programa para limpiar posibles residuos de ejecuciones anteriores.</w:t>
      </w:r>
    </w:p>
    <w:p>
      <w:pPr>
        <w:pStyle w:val="Normal"/>
        <w:spacing w:before="0" w:after="200"/>
        <w:rPr/>
      </w:pPr>
      <w:r>
        <w:rPr/>
        <w:t xml:space="preserve">En esta solución se sustituyen por un </w:t>
      </w:r>
      <w:r>
        <w:rPr>
          <w:rFonts w:ascii="Courier New" w:hAnsi="Courier New"/>
          <w:sz w:val="22"/>
          <w:szCs w:val="22"/>
        </w:rPr>
        <w:t>pthread_mutex_t</w:t>
      </w:r>
      <w:r>
        <w:rPr/>
        <w:t xml:space="preserve"> y dos </w:t>
      </w:r>
      <w:r>
        <w:rPr>
          <w:rFonts w:ascii="Courier New" w:hAnsi="Courier New"/>
          <w:sz w:val="22"/>
          <w:szCs w:val="22"/>
        </w:rPr>
        <w:t>pthread_cond_t</w:t>
      </w:r>
      <w:r>
        <w:rPr/>
        <w:t xml:space="preserve">, inicializados con </w:t>
      </w:r>
      <w:r>
        <w:rPr>
          <w:rFonts w:ascii="Courier New" w:hAnsi="Courier New"/>
          <w:sz w:val="22"/>
          <w:szCs w:val="22"/>
        </w:rPr>
        <w:t>PTHREAD_MUTEX_INITIALIZER</w:t>
      </w:r>
      <w:r>
        <w:rPr/>
        <w:t xml:space="preserve"> y </w:t>
      </w:r>
      <w:r>
        <w:rPr>
          <w:rFonts w:ascii="Courier New" w:hAnsi="Courier New"/>
          <w:sz w:val="22"/>
          <w:szCs w:val="22"/>
        </w:rPr>
        <w:t>PTHREAD_COND_INITIALIZER</w:t>
      </w:r>
      <w:r>
        <w:rPr/>
        <w:t>. Al ser variables locales al proceso que viven en su espacio de memoria y por tanto desaparecen automáticamente cuando el programa termina.</w:t>
      </w:r>
    </w:p>
    <w:p>
      <w:pPr>
        <w:pStyle w:val="Heading2"/>
        <w:rPr/>
      </w:pPr>
      <w:r>
        <w:rPr/>
        <w:t>3.2. Patrón de sincronización</w:t>
      </w:r>
    </w:p>
    <w:p>
      <w:pPr>
        <w:pStyle w:val="Normal"/>
        <w:spacing w:before="0" w:after="200"/>
        <w:rPr/>
      </w:pPr>
      <w:r>
        <w:rPr/>
        <w:t xml:space="preserve">El patrón utilizado dentro de la región crítica es: </w:t>
      </w:r>
    </w:p>
    <w:p>
      <w:pPr>
        <w:pStyle w:val="Normal"/>
        <w:spacing w:before="0" w:after="200"/>
        <w:rPr/>
      </w:pPr>
      <w:r>
        <w:rPr/>
        <w:t xml:space="preserve">1. </w:t>
      </w:r>
      <w:r>
        <w:rPr>
          <w:rFonts w:ascii="Courier New" w:hAnsi="Courier New"/>
          <w:sz w:val="22"/>
          <w:szCs w:val="22"/>
        </w:rPr>
        <w:t xml:space="preserve">pthread_mutex_lock </w:t>
      </w:r>
    </w:p>
    <w:p>
      <w:pPr>
        <w:pStyle w:val="Normal"/>
        <w:spacing w:before="0" w:after="200"/>
        <w:rPr/>
      </w:pPr>
      <w:r>
        <w:rPr/>
        <w:t xml:space="preserve">2. </w:t>
      </w:r>
      <w:r>
        <w:rPr>
          <w:rFonts w:ascii="Courier New" w:hAnsi="Courier New"/>
          <w:sz w:val="22"/>
          <w:szCs w:val="22"/>
        </w:rPr>
        <w:t>while(condición) pthread_cond_wait</w:t>
      </w:r>
    </w:p>
    <w:p>
      <w:pPr>
        <w:pStyle w:val="Normal"/>
        <w:spacing w:before="0" w:after="200"/>
        <w:rPr/>
      </w:pPr>
      <w:r>
        <w:rPr/>
        <w:t>3. operar sobre el buffer</w:t>
      </w:r>
    </w:p>
    <w:p>
      <w:pPr>
        <w:pStyle w:val="Normal"/>
        <w:spacing w:before="0" w:after="200"/>
        <w:rPr/>
      </w:pPr>
      <w:r>
        <w:rPr/>
        <w:t xml:space="preserve">4. </w:t>
      </w:r>
      <w:r>
        <w:rPr>
          <w:rFonts w:ascii="Courier New" w:hAnsi="Courier New"/>
          <w:sz w:val="22"/>
          <w:szCs w:val="22"/>
        </w:rPr>
        <w:t>pthread_cond_signal</w:t>
      </w:r>
    </w:p>
    <w:p>
      <w:pPr>
        <w:pStyle w:val="Normal"/>
        <w:spacing w:before="0" w:after="200"/>
        <w:rPr/>
      </w:pPr>
      <w:r>
        <w:rPr/>
        <w:t xml:space="preserve">5. </w:t>
      </w:r>
      <w:r>
        <w:rPr>
          <w:rFonts w:ascii="Courier New" w:hAnsi="Courier New"/>
          <w:sz w:val="22"/>
          <w:szCs w:val="22"/>
        </w:rPr>
        <w:t>pthread_mutex_unlock.</w:t>
      </w:r>
    </w:p>
    <w:p>
      <w:pPr>
        <w:pStyle w:val="Normal"/>
        <w:spacing w:before="0" w:after="200"/>
        <w:rPr/>
      </w:pPr>
      <w:r>
        <w:rPr/>
        <w:t>Es crítico usar espera activa para que el hilo no se despierte hasta que se deje de cumplir la condición.</w:t>
      </w:r>
    </w:p>
    <w:p>
      <w:pPr>
        <w:pStyle w:val="Normal"/>
        <w:spacing w:before="0" w:after="200"/>
        <w:rPr/>
      </w:pPr>
      <w:r>
        <w:rPr/>
        <w:t xml:space="preserve">La variable de condición </w:t>
      </w:r>
      <w:r>
        <w:rPr>
          <w:rFonts w:ascii="Courier New" w:hAnsi="Courier New"/>
          <w:sz w:val="22"/>
          <w:szCs w:val="22"/>
        </w:rPr>
        <w:t>no_lleno</w:t>
      </w:r>
      <w:r>
        <w:rPr/>
        <w:t xml:space="preserve"> la utiliza el productor para esperar cuando el buffer está lleno (</w:t>
      </w:r>
      <w:r>
        <w:rPr>
          <w:rFonts w:ascii="Courier New" w:hAnsi="Courier New"/>
          <w:sz w:val="22"/>
          <w:szCs w:val="22"/>
        </w:rPr>
        <w:t>count == N</w:t>
      </w:r>
      <w:r>
        <w:rPr/>
        <w:t xml:space="preserve">), y la señaliza el consumidor tras extraer un elemento. La variable </w:t>
      </w:r>
      <w:r>
        <w:rPr>
          <w:rFonts w:ascii="Courier New" w:hAnsi="Courier New"/>
          <w:sz w:val="22"/>
          <w:szCs w:val="22"/>
        </w:rPr>
        <w:t>no_vacio</w:t>
      </w:r>
      <w:r>
        <w:rPr/>
        <w:t xml:space="preserve"> funciona de forma inversa: la espera el consumidor cuando </w:t>
      </w:r>
      <w:r>
        <w:rPr>
          <w:rFonts w:ascii="Courier New" w:hAnsi="Courier New"/>
          <w:sz w:val="22"/>
          <w:szCs w:val="22"/>
        </w:rPr>
        <w:t>count == 0</w:t>
      </w:r>
      <w:r>
        <w:rPr/>
        <w:t xml:space="preserve"> y la señaliza el productor tras insertar.</w:t>
      </w:r>
    </w:p>
    <w:p>
      <w:pPr>
        <w:pStyle w:val="Heading2"/>
        <w:rPr/>
      </w:pPr>
      <w:r>
        <w:rPr/>
        <w:t>3.3. Control de velocidades</w:t>
      </w:r>
    </w:p>
    <w:p>
      <w:pPr>
        <w:pStyle w:val="Normal"/>
        <w:spacing w:before="0" w:after="200"/>
        <w:rPr/>
      </w:pPr>
      <w:r>
        <w:rPr/>
        <w:t xml:space="preserve">Las llamadas a </w:t>
      </w:r>
      <w:r>
        <w:rPr>
          <w:rFonts w:ascii="Courier New" w:hAnsi="Courier New"/>
          <w:sz w:val="22"/>
          <w:szCs w:val="22"/>
        </w:rPr>
        <w:t>sleep()</w:t>
      </w:r>
      <w:r>
        <w:rPr/>
        <w:t xml:space="preserve"> se realizan de la misma manera que en la Práctica 2 lo único que cambia es que en las iteraciones 60-79, ambos duermen un tiempo aleatorio entre 0 y 3 segundos.</w:t>
      </w:r>
    </w:p>
    <w:p>
      <w:pPr>
        <w:pStyle w:val="Heading2"/>
        <w:rPr/>
      </w:pPr>
      <w:r>
        <w:rPr/>
        <w:t>3.4. Funciones principales</w:t>
      </w:r>
    </w:p>
    <w:p>
      <w:pPr>
        <w:pStyle w:val="Normal"/>
        <w:spacing w:before="0" w:after="200"/>
        <w:rPr/>
      </w:pPr>
      <w:r>
        <w:rPr/>
        <w:t xml:space="preserve">Las funciones </w:t>
      </w:r>
      <w:r>
        <w:rPr>
          <w:rFonts w:ascii="Courier New" w:hAnsi="Courier New"/>
          <w:sz w:val="22"/>
          <w:szCs w:val="22"/>
        </w:rPr>
        <w:t>produce_item</w:t>
      </w:r>
      <w:r>
        <w:rPr/>
        <w:t xml:space="preserve">, </w:t>
      </w:r>
      <w:r>
        <w:rPr>
          <w:rFonts w:ascii="Courier New" w:hAnsi="Courier New"/>
          <w:sz w:val="22"/>
          <w:szCs w:val="22"/>
        </w:rPr>
        <w:t>insert_item</w:t>
      </w:r>
      <w:r>
        <w:rPr/>
        <w:t xml:space="preserve">, </w:t>
      </w:r>
      <w:r>
        <w:rPr>
          <w:rFonts w:ascii="Courier New" w:hAnsi="Courier New"/>
          <w:sz w:val="22"/>
          <w:szCs w:val="22"/>
        </w:rPr>
        <w:t>remove_item</w:t>
      </w:r>
      <w:r>
        <w:rPr/>
        <w:t xml:space="preserve"> y </w:t>
      </w:r>
      <w:r>
        <w:rPr>
          <w:rFonts w:ascii="Courier New" w:hAnsi="Courier New"/>
          <w:sz w:val="22"/>
          <w:szCs w:val="22"/>
        </w:rPr>
        <w:t>consume_item</w:t>
      </w:r>
      <w:r>
        <w:rPr/>
        <w:t xml:space="preserve"> mantienen la misma lógica que en el Informe 1. La diferencia clave es que </w:t>
      </w:r>
      <w:r>
        <w:rPr>
          <w:rFonts w:ascii="Courier New" w:hAnsi="Courier New"/>
          <w:sz w:val="22"/>
          <w:szCs w:val="22"/>
        </w:rPr>
        <w:t>insert_item</w:t>
      </w:r>
      <w:r>
        <w:rPr/>
        <w:t xml:space="preserve"> y </w:t>
      </w:r>
      <w:r>
        <w:rPr>
          <w:rFonts w:ascii="Courier New" w:hAnsi="Courier New"/>
          <w:sz w:val="22"/>
          <w:szCs w:val="22"/>
        </w:rPr>
        <w:t>remove_item</w:t>
      </w:r>
      <w:r>
        <w:rPr/>
        <w:t xml:space="preserve"> ya no contienen </w:t>
      </w:r>
      <w:r>
        <w:rPr>
          <w:rFonts w:ascii="Courier New" w:hAnsi="Courier New"/>
          <w:sz w:val="22"/>
          <w:szCs w:val="22"/>
        </w:rPr>
        <w:t xml:space="preserve">sleep() </w:t>
      </w:r>
      <w:r>
        <w:rPr/>
        <w:t xml:space="preserve">entre la lectura y la escritura de </w:t>
      </w:r>
      <w:r>
        <w:rPr>
          <w:rFonts w:ascii="Courier New" w:hAnsi="Courier New"/>
          <w:sz w:val="22"/>
          <w:szCs w:val="22"/>
        </w:rPr>
        <w:t>count</w:t>
      </w:r>
      <w:r>
        <w:rPr/>
        <w:t xml:space="preserve">, ya que el mutex protege toda la operación. La actualización de count se realiza directamente con </w:t>
      </w:r>
      <w:r>
        <w:rPr>
          <w:rFonts w:ascii="Courier New" w:hAnsi="Courier New"/>
          <w:sz w:val="22"/>
          <w:szCs w:val="22"/>
        </w:rPr>
        <w:t>count++</w:t>
      </w:r>
      <w:r>
        <w:rPr/>
        <w:t xml:space="preserve"> y </w:t>
      </w:r>
      <w:r>
        <w:rPr>
          <w:rFonts w:ascii="Courier New" w:hAnsi="Courier New"/>
          <w:sz w:val="22"/>
          <w:szCs w:val="22"/>
        </w:rPr>
        <w:t>count--</w:t>
      </w:r>
      <w:r>
        <w:rPr/>
        <w:t xml:space="preserve"> dentro de la sección protegida.</w:t>
      </w:r>
    </w:p>
    <w:p>
      <w:pPr>
        <w:pStyle w:val="Heading1"/>
        <w:rPr/>
      </w:pPr>
      <w:r>
        <w:rPr/>
        <w:t>4. Resultados</w:t>
      </w:r>
    </w:p>
    <w:p>
      <w:pPr>
        <w:pStyle w:val="Normal"/>
        <w:spacing w:before="0" w:after="200"/>
        <w:rPr/>
      </w:pPr>
      <w:r>
        <w:rPr/>
        <w:t>En esta sección se presentan las evidencias obtenidas de la ejecución del programa, organizadas según las tres fases de velocidad.</w:t>
      </w:r>
    </w:p>
    <w:p>
      <w:pPr>
        <w:pStyle w:val="Heading2"/>
        <w:rPr/>
      </w:pPr>
      <w:r>
        <w:rPr/>
        <w:t>4.1. Iteraciones 0-29 (buffer se llena)</w:t>
      </w:r>
    </w:p>
    <w:p>
      <w:pPr>
        <w:pStyle w:val="Normal"/>
        <w:spacing w:before="0" w:after="200"/>
        <w:rPr/>
      </w:pPr>
      <w:r>
        <w:rPr/>
        <w:t xml:space="preserve">Durante las primeras 10 iteraciones del productor, el consumidor aún no ha extraído ningún elemento (está frenado por su </w:t>
      </w:r>
      <w:r>
        <w:rPr>
          <w:rFonts w:ascii="Courier New" w:hAnsi="Courier New"/>
          <w:sz w:val="22"/>
          <w:szCs w:val="22"/>
        </w:rPr>
        <w:t>sleep(1)</w:t>
      </w:r>
      <w:r>
        <w:rPr/>
        <w:t xml:space="preserve">). El productor llena el buffer de la posición 0 a la 9, momento en que count alcanza </w:t>
      </w:r>
      <w:r>
        <w:rPr>
          <w:rFonts w:ascii="Courier New" w:hAnsi="Courier New"/>
          <w:sz w:val="22"/>
          <w:szCs w:val="22"/>
        </w:rPr>
        <w:t xml:space="preserve">N=10 </w:t>
      </w:r>
      <w:r>
        <w:rPr/>
        <w:t xml:space="preserve">y </w:t>
      </w:r>
      <w:r>
        <w:rPr>
          <w:rFonts w:ascii="Courier New" w:hAnsi="Courier New"/>
          <w:sz w:val="22"/>
          <w:szCs w:val="22"/>
        </w:rPr>
        <w:t>pthread_cond_wait(&amp;no_lleno, &amp;mutex)</w:t>
      </w:r>
      <w:r>
        <w:rPr/>
        <w:t xml:space="preserve"> lo bloquea. A partir de ahí se establece un patrón característico: el consumidor extrae un elemento, señaliza </w:t>
      </w:r>
      <w:r>
        <w:rPr>
          <w:rFonts w:ascii="Courier New" w:hAnsi="Courier New"/>
          <w:sz w:val="22"/>
          <w:szCs w:val="22"/>
        </w:rPr>
        <w:t>no_lleno</w:t>
      </w:r>
      <w:r>
        <w:rPr/>
        <w:t xml:space="preserve">, el productor inserta uno nuevo y señaliza </w:t>
      </w:r>
      <w:r>
        <w:rPr>
          <w:rFonts w:ascii="Courier New" w:hAnsi="Courier New"/>
          <w:sz w:val="22"/>
          <w:szCs w:val="22"/>
        </w:rPr>
        <w:t>no_vacio</w:t>
      </w:r>
      <w:r>
        <w:rPr/>
        <w:t xml:space="preserve">, y el ciclo se repite con </w:t>
      </w:r>
      <w:r>
        <w:rPr>
          <w:rFonts w:ascii="Courier New" w:hAnsi="Courier New"/>
          <w:sz w:val="22"/>
          <w:szCs w:val="22"/>
        </w:rPr>
        <w:t>count</w:t>
      </w:r>
      <w:r>
        <w:rPr/>
        <w:t xml:space="preserve"> oscilando entre 9 y 10.</w:t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93980</wp:posOffset>
            </wp:positionH>
            <wp:positionV relativeFrom="paragraph">
              <wp:posOffset>204470</wp:posOffset>
            </wp:positionV>
            <wp:extent cx="5543550" cy="16370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66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77470</wp:posOffset>
            </wp:positionH>
            <wp:positionV relativeFrom="paragraph">
              <wp:posOffset>-165735</wp:posOffset>
            </wp:positionV>
            <wp:extent cx="5438775" cy="990600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</w:r>
    </w:p>
    <w:p>
      <w:pPr>
        <w:pStyle w:val="Normal"/>
        <w:spacing w:before="200" w:after="400"/>
        <w:jc w:val="center"/>
        <w:rPr/>
      </w:pPr>
      <w:r>
        <w:rPr>
          <w:i/>
          <w:iCs/>
          <w:color w:val="7B5B3A"/>
          <w:sz w:val="22"/>
          <w:szCs w:val="22"/>
        </w:rPr>
        <w:t xml:space="preserve">Figura 1: Primeras iteraciones mostrando </w:t>
      </w:r>
      <w:r>
        <w:rPr>
          <w:i/>
          <w:iCs/>
          <w:color w:val="7B5B3A"/>
          <w:sz w:val="22"/>
          <w:szCs w:val="22"/>
        </w:rPr>
        <w:t>como se llena el buffer.</w:t>
      </w:r>
    </w:p>
    <w:p>
      <w:pPr>
        <w:pStyle w:val="Heading2"/>
        <w:rPr/>
      </w:pPr>
      <w:r>
        <w:rPr/>
        <w:t>4.2. Iteraciones 30-59 (buffer se vacía)</w:t>
      </w:r>
    </w:p>
    <w:p>
      <w:pPr>
        <w:pStyle w:val="Normal"/>
        <w:spacing w:before="0" w:after="200"/>
        <w:rPr/>
      </w:pPr>
      <w:r>
        <w:rPr/>
        <w:t xml:space="preserve">Cuando el consumidor alcanza la iteración 30, deja de ejecutar </w:t>
      </w:r>
      <w:r>
        <w:rPr>
          <w:rFonts w:ascii="Courier New" w:hAnsi="Courier New"/>
          <w:sz w:val="22"/>
          <w:szCs w:val="22"/>
        </w:rPr>
        <w:t>sleep(1)</w:t>
      </w:r>
      <w:r>
        <w:rPr/>
        <w:t xml:space="preserve"> y consume a velocidad máxima </w:t>
      </w:r>
      <w:r>
        <w:rPr/>
        <w:t>(Figura 2)</w:t>
      </w:r>
      <w:r>
        <w:rPr/>
        <w:t xml:space="preserve">. El consumidor vacía rápidamente el buffer: </w:t>
      </w:r>
      <w:r>
        <w:rPr>
          <w:rFonts w:ascii="Courier New" w:hAnsi="Courier New"/>
          <w:sz w:val="22"/>
          <w:szCs w:val="22"/>
        </w:rPr>
        <w:t>count</w:t>
      </w:r>
      <w:r>
        <w:rPr/>
        <w:t xml:space="preserve"> desciende desde 10 hasta 0. Una vez vacío, se establece el patrón inverso: cada vez que el productor inserta un entero (</w:t>
      </w:r>
      <w:r>
        <w:rPr>
          <w:rFonts w:ascii="Courier New" w:hAnsi="Courier New"/>
          <w:sz w:val="22"/>
          <w:szCs w:val="22"/>
        </w:rPr>
        <w:t>count</w:t>
      </w:r>
      <w:r>
        <w:rPr/>
        <w:t xml:space="preserve"> sube a 1), el consumidor lo extrae inmediatamente (</w:t>
      </w:r>
      <w:r>
        <w:rPr>
          <w:rFonts w:ascii="Courier New" w:hAnsi="Courier New"/>
          <w:sz w:val="22"/>
          <w:szCs w:val="22"/>
        </w:rPr>
        <w:t>count</w:t>
      </w:r>
      <w:r>
        <w:rPr/>
        <w:t xml:space="preserve"> vuelve a 0). </w:t>
      </w:r>
      <w:r>
        <w:rPr/>
        <w:t>El productor aunque no está bloquead</w:t>
      </w:r>
      <w:r>
        <w:rPr/>
        <w:t>o,</w:t>
      </w:r>
      <w:r>
        <w:rPr/>
        <w:t xml:space="preserve"> no tiene tiempo de introducir en el búffer al estar en fase lenta.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194310</wp:posOffset>
            </wp:positionH>
            <wp:positionV relativeFrom="paragraph">
              <wp:posOffset>-52705</wp:posOffset>
            </wp:positionV>
            <wp:extent cx="5343525" cy="15995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61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</w:r>
    </w:p>
    <w:p>
      <w:pPr>
        <w:pStyle w:val="Normal"/>
        <w:spacing w:before="200" w:after="40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9715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7B5B3A"/>
          <w:sz w:val="22"/>
          <w:szCs w:val="22"/>
        </w:rPr>
        <w:t xml:space="preserve">Figura </w:t>
      </w:r>
      <w:r>
        <w:rPr>
          <w:i/>
          <w:iCs/>
          <w:color w:val="7B5B3A"/>
          <w:sz w:val="22"/>
          <w:szCs w:val="22"/>
        </w:rPr>
        <w:t>2</w:t>
      </w:r>
      <w:r>
        <w:rPr>
          <w:i/>
          <w:iCs/>
          <w:color w:val="7B5B3A"/>
          <w:sz w:val="22"/>
          <w:szCs w:val="22"/>
        </w:rPr>
        <w:t xml:space="preserve">: </w:t>
      </w:r>
      <w:r>
        <w:rPr>
          <w:i/>
          <w:iCs/>
          <w:color w:val="7B5B3A"/>
          <w:sz w:val="22"/>
          <w:szCs w:val="22"/>
        </w:rPr>
        <w:t>I</w:t>
      </w:r>
      <w:r>
        <w:rPr>
          <w:i/>
          <w:iCs/>
          <w:color w:val="7B5B3A"/>
          <w:sz w:val="22"/>
          <w:szCs w:val="22"/>
        </w:rPr>
        <w:t xml:space="preserve">teraciones mostrando </w:t>
      </w:r>
      <w:r>
        <w:rPr>
          <w:i/>
          <w:iCs/>
          <w:color w:val="7B5B3A"/>
          <w:sz w:val="22"/>
          <w:szCs w:val="22"/>
        </w:rPr>
        <w:t>como se vacía el buffer. Dispares al principio pero se igualan.</w:t>
      </w:r>
    </w:p>
    <w:p>
      <w:pPr>
        <w:pStyle w:val="Heading2"/>
        <w:rPr/>
      </w:pPr>
      <w:r>
        <w:rPr/>
        <w:t>4.3. Iteraciones 60-79 (aleatorio)</w:t>
      </w:r>
    </w:p>
    <w:p>
      <w:pPr>
        <w:pStyle w:val="Normal"/>
        <w:spacing w:before="0" w:after="200"/>
        <w:rPr/>
      </w:pPr>
      <w:r>
        <w:rPr/>
        <w:t xml:space="preserve">En las últimas 20 iteraciones, ambos hilos esperan tiempos aleatorios entre 0 y 3 segundos. Las iteraciones se intercalan de forma impredecible: en ocasiones el productor inserta varios elementos seguidos antes de que el consumidor actúe, y en otras ocurre lo contrario. </w:t>
      </w:r>
      <w:r>
        <w:rPr/>
        <w:t>(Figura 3)</w:t>
      </w:r>
    </w:p>
    <w:p>
      <w:pPr>
        <w:pStyle w:val="Normal"/>
        <w:spacing w:before="200" w:after="40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8775" cy="198120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7B5B3A"/>
          <w:sz w:val="22"/>
          <w:szCs w:val="22"/>
        </w:rPr>
        <w:t xml:space="preserve">Figura </w:t>
      </w:r>
      <w:r>
        <w:rPr>
          <w:i/>
          <w:iCs/>
          <w:color w:val="7B5B3A"/>
          <w:sz w:val="22"/>
          <w:szCs w:val="22"/>
        </w:rPr>
        <w:t>3</w:t>
      </w:r>
      <w:r>
        <w:rPr>
          <w:i/>
          <w:iCs/>
          <w:color w:val="7B5B3A"/>
          <w:sz w:val="22"/>
          <w:szCs w:val="22"/>
        </w:rPr>
        <w:t xml:space="preserve">: </w:t>
      </w:r>
      <w:r>
        <w:rPr>
          <w:i/>
          <w:iCs/>
          <w:color w:val="7B5B3A"/>
          <w:sz w:val="22"/>
          <w:szCs w:val="22"/>
        </w:rPr>
        <w:t>I</w:t>
      </w:r>
      <w:r>
        <w:rPr>
          <w:i/>
          <w:iCs/>
          <w:color w:val="7B5B3A"/>
          <w:sz w:val="22"/>
          <w:szCs w:val="22"/>
        </w:rPr>
        <w:t xml:space="preserve">teraciones </w:t>
      </w:r>
      <w:r>
        <w:rPr>
          <w:i/>
          <w:iCs/>
          <w:color w:val="7B5B3A"/>
          <w:sz w:val="22"/>
          <w:szCs w:val="22"/>
        </w:rPr>
        <w:t>aleatorias intercalando productor y consumidor</w:t>
      </w:r>
    </w:p>
    <w:p>
      <w:pPr>
        <w:pStyle w:val="Heading2"/>
        <w:rPr/>
      </w:pPr>
      <w:r>
        <w:rPr/>
        <w:t>4.4. Sumas finales</w:t>
      </w:r>
    </w:p>
    <w:p>
      <w:pPr>
        <w:pStyle w:val="Normal"/>
        <w:spacing w:before="0" w:after="200"/>
        <w:rPr/>
      </w:pPr>
      <w:r>
        <w:rPr/>
        <w:t xml:space="preserve">Al finalizar las 80 iteraciones, ambos hilos imprimen su suma </w:t>
      </w:r>
      <w:r>
        <w:rPr/>
        <w:t>(Figura 4)</w:t>
      </w:r>
      <w:r>
        <w:rPr/>
        <w:t xml:space="preserve">. Los resultados son idénticos, confirmando </w:t>
      </w:r>
      <w:r>
        <w:rPr/>
        <w:t>asi que</w:t>
      </w:r>
      <w:r>
        <w:rPr/>
        <w:t xml:space="preserve"> </w:t>
      </w:r>
      <w:r>
        <w:rPr/>
        <w:t>e</w:t>
      </w:r>
      <w:r>
        <w:rPr/>
        <w:t>l mutex y las variables de condición eliminan por completo las inconsistencias observadas en el Informe 1.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400"/>
        <w:jc w:val="center"/>
        <w:rPr>
          <w:i/>
          <w:i/>
          <w:iCs/>
          <w:color w:val="7B5B3A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1627505</wp:posOffset>
            </wp:positionH>
            <wp:positionV relativeFrom="paragraph">
              <wp:posOffset>-111760</wp:posOffset>
            </wp:positionV>
            <wp:extent cx="2476500" cy="514350"/>
            <wp:effectExtent l="0" t="0" r="0" b="0"/>
            <wp:wrapSquare wrapText="largest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00" w:after="400"/>
        <w:jc w:val="center"/>
        <w:rPr/>
      </w:pPr>
      <w:r>
        <w:rPr>
          <w:i/>
          <w:iCs/>
          <w:color w:val="7B5B3A"/>
          <w:sz w:val="22"/>
          <w:szCs w:val="22"/>
        </w:rPr>
        <w:t xml:space="preserve">Figura </w:t>
      </w:r>
      <w:r>
        <w:rPr>
          <w:i/>
          <w:iCs/>
          <w:color w:val="7B5B3A"/>
          <w:sz w:val="22"/>
          <w:szCs w:val="22"/>
        </w:rPr>
        <w:t>4</w:t>
      </w:r>
      <w:r>
        <w:rPr>
          <w:i/>
          <w:iCs/>
          <w:color w:val="7B5B3A"/>
          <w:sz w:val="22"/>
          <w:szCs w:val="22"/>
        </w:rPr>
        <w:t xml:space="preserve">: </w:t>
      </w:r>
      <w:r>
        <w:rPr>
          <w:i/>
          <w:iCs/>
          <w:color w:val="7B5B3A"/>
          <w:sz w:val="22"/>
          <w:szCs w:val="22"/>
        </w:rPr>
        <w:t>Resultados de la suma</w:t>
      </w:r>
    </w:p>
    <w:p>
      <w:pPr>
        <w:pStyle w:val="Heading1"/>
        <w:rPr/>
      </w:pPr>
      <w:r>
        <w:rPr/>
        <w:t>5. Conclusiones</w:t>
      </w:r>
    </w:p>
    <w:p>
      <w:pPr>
        <w:pStyle w:val="Normal"/>
        <w:spacing w:before="0" w:after="200"/>
        <w:rPr/>
      </w:pPr>
      <w:r>
        <w:rPr/>
        <w:t>La solución con pthread_mutex_t y pthread_cond_t resuelve completamente el problema de las carreras críticas del Informe 1.</w:t>
      </w:r>
    </w:p>
    <w:p>
      <w:pPr>
        <w:pStyle w:val="Normal"/>
        <w:spacing w:before="0" w:after="200"/>
        <w:rPr/>
      </w:pPr>
      <w:r>
        <w:rPr/>
        <w:t xml:space="preserve">Las tres fases de velocidad demuestran que el mecanismo de sincronización funciona correctamente tanto cuando el buffer se llena, como cuando se vacía, como en condiciones </w:t>
      </w:r>
      <w:r>
        <w:rPr/>
        <w:t>aleatorias</w:t>
      </w:r>
      <w:r>
        <w:rPr/>
        <w:t xml:space="preserve">. Las sumas </w:t>
      </w:r>
      <w:r>
        <w:rPr/>
        <w:t>las cuales coninciden</w:t>
      </w:r>
      <w:r>
        <w:rPr/>
        <w:t xml:space="preserve"> confirman que ningún dato se perdió ni se duplicó.</w:t>
      </w:r>
    </w:p>
    <w:sectPr>
      <w:headerReference w:type="default" r:id="rId8"/>
      <w:footerReference w:type="default" r:id="rId9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A67C52"/>
      </w:pBdr>
      <w:tabs>
        <w:tab w:val="clear" w:pos="720"/>
        <w:tab w:val="right" w:pos="9026" w:leader="none"/>
      </w:tabs>
      <w:rPr/>
    </w:pPr>
    <w:r>
      <w:rPr>
        <w:rFonts w:eastAsia="Arial" w:cs="Arial"/>
        <w:i/>
        <w:iCs/>
        <w:color w:val="A67C52"/>
        <w:sz w:val="18"/>
        <w:szCs w:val="18"/>
      </w:rPr>
      <w:t>SO II — P3 Informe 2</w:t>
      <w:tab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D2D2D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2D2D2D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A67C52"/>
      </w:pBdr>
      <w:spacing w:before="360" w:after="200"/>
      <w:outlineLvl w:val="0"/>
    </w:pPr>
    <w:rPr>
      <w:rFonts w:ascii="Arial" w:hAnsi="Arial" w:eastAsia="Arial" w:cs="Arial"/>
      <w:b/>
      <w:bCs/>
      <w:color w:val="4E3629"/>
      <w:sz w:val="36"/>
      <w:szCs w:val="36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7B5B3A"/>
      <w:sz w:val="30"/>
      <w:szCs w:val="30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A67C52"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2D2D2D"/>
      <w:kern w:val="0"/>
      <w:sz w:val="24"/>
      <w:szCs w:val="24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2D2D2D"/>
      <w:kern w:val="0"/>
      <w:sz w:val="24"/>
      <w:szCs w:val="24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5</Pages>
  <Words>833</Words>
  <Characters>4529</Characters>
  <CharactersWithSpaces>5318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2026-04-15T10:30:34Z</dcterms:created>
  <dc:creator>Un-named</dc:creator>
  <dc:description/>
  <dc:language>en-GB</dc:language>
  <cp:lastModifiedBy/>
  <dcterms:modified xsi:type="dcterms:W3CDTF">2026-04-15T19:45:58Z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