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1F4E79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1F4E79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8638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{{ro_progres}}</w:t>
            </w:r>
          </w:p>
        </w:tc>
      </w:tr>
      <w:tr>
        <w:tc>
          <w:tcPr>
            <w:tcW w:type="dxa" w:w="8638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{{target_proksi}}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1F4E79"/>
              </w:rPr>
              <w:t>{{realisasi_proksi}}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b/>
          <w:sz w:val="24"/>
        </w:rPr>
        <w:t>II. Peran BPS Kabupaten Buton Utara dalam Prioritas Nasional, Prioritas Presiden, serta Isu Strategis Lainnya</w:t>
      </w:r>
    </w:p>
    <w:p>
      <w:r>
        <w:rPr>
          <w:i/>
          <w:color w:val="1F4E79"/>
        </w:rPr>
        <w:t>{{bagian_2}}</w:t>
      </w:r>
    </w:p>
    <w:p/>
    <w:p>
      <w:r>
        <w:rPr>
          <w:b/>
          <w:sz w:val="24"/>
        </w:rPr>
        <w:t>III. Realisasi Anggaran dan Upaya Efisiensi sampai dengan Triwulan Berjalan</w:t>
      </w:r>
    </w:p>
    <w:p>
      <w:r>
        <w:rPr>
          <w:i/>
          <w:color w:val="1F4E79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