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NOTULA RAPAT -- BAGIAN II</w:t>
      </w:r>
    </w:p>
    <w:p>
      <w:r>
        <w:rPr>
          <w:b/>
          <w:sz w:val="24"/>
        </w:rPr>
        <w:t>Peran BPS Kabupaten Buton Utara dalam Prioritas Nasional, Prioritas Presiden,</w:t>
        <w:br/>
        <w:t>serta Isu Strategis Lainnya</w:t>
      </w:r>
    </w:p>
    <w:p/>
    <w:p>
      <w:r>
        <w:rPr>
          <w:i/>
          <w:color w:val="C00000"/>
          <w:sz w:val="19"/>
        </w:rPr>
        <w:t>Petunjuk pengisian (hapus paragraf ini sebelum diunggah): Sampaikan narasi capaian BPS Kabupaten Buton Utara terhadap Prioritas Nasional, Prioritas Presiden, serta Isu Strategis Lainnya -- aktivitas yang sudah dilakukan, output yang sudah dihasilkan, kendala, solusi pada triwulan berjalan, serta rencana tindak lanjut/rencana aksi pada triwulan selanjutnya. Sesuai struktur resmi "Template Notula Monitoring Kinerja Triwulanan BPS Prov dan Kako -- Update Prioritas": PILIH hanya prioritas/isu strategis yang memang dikerjakan oleh BPS Kabupaten Buton Utara pada triwulan ini -- item lain (termasuk yang berlokus khusus BPS Provinsi, Biro Pusat, atau wilayah lain) HAPUS seluruh sub-bagiannya (huruf, judul, tabel, contoh narasi). Ganti seluruh contoh narasi (teks abu-abu miring) dengan narasi capaian Buton Utara yang sebenarnya, lalu hapus teks instruksi berwarna merah ini sebelum diunggah.</w:t>
      </w:r>
    </w:p>
    <w:p/>
    <w:p>
      <w:r>
        <w:rPr>
          <w:b/>
          <w:sz w:val="23"/>
        </w:rPr>
        <w:t>a. RO Prioritas: Pemanfaatan Big Data untuk Statistik Resmi</w:t>
      </w:r>
    </w:p>
    <w:p>
      <w:r>
        <w:rPr>
          <w:i/>
          <w:color w:val="C00000"/>
          <w:sz w:val="19"/>
        </w:rPr>
        <w:t>(lokus di Direktorat Analisis Statistik dan Neraca Satelit -sampai dengan triwulan 2-, Direktorat Metodologi Statistik dan Sains Data -mulai triwulan 3-, BPS Provinsi, dan BPS Kabupaten/Kota)</w:t>
      </w:r>
    </w:p>
    <w:p>
      <w:r>
        <w:rPr>
          <w:sz w:val="22"/>
        </w:rPr>
        <w:t>RO prioritas ini mendukung Proyek Prioritas Nasional terkait Tata Kelola Data serta Pengembangan dan Pemanfaatan Emerging Technology. Lebih jauh lagi, RO ini mendukung Prioritas Nasional 3 (Melanjutkan pengembangan infrastruktur dan meningkatkan lapangan kerja yang berkualitas, mendorong kewirausahaan, mengembangkan industri kreatif serta mengembangkan agromaritim industri di sentra produksi melalui peran aktif koperasi) dan Prioritas Nasional 7 (Memperkuat reformasi politik, hukum, dan birokrasi, serta memperkuat pencegahan dan pemberantasan korupsi, narkoba, judi, dan penyelundupan).</w:t>
      </w:r>
    </w:p>
    <w:p/>
    <w:p>
      <w:r>
        <w:rPr>
          <w:b/>
          <w:sz w:val="21"/>
        </w:rPr>
        <w:t>Tabel A. RO Prioritas: Pemanfaatan Big Data untuk Statistik Resmi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sudah melakukan (1) Workshop Pengembangan Metropolitan Statistical Area (MSA) dengan mengundang narasumber dari Direktorat Pengembangan Metodologi dan Sains Data BPS RI, Bappeda, Kominfo, dll., (2) Survei Digital MSA dengan total respon sebanyak 150 respon dari target 200 respon. Penyelesaian kegiatan dilakukan secara tepat waktu sesuai jadwal yang ditetapkan BPS RI. Selama melakukan aktivitas atau menghasilkan output tersebut kendala yang muncul di antaranya adalah banyaknya calon responden yang tidak merespon survei digital. Untuk mengatasi kendala tersebut telah dilakukan beberapa upaya seperti promosi survei digital melalui berbagai kanal media sosial resmi. Dari sisi anggaran, penyerapan anggaran pada RO ini sudah mencapai 30 persen. Kegiatan terkait RO Prioritas ini yang akan dilaksanakan pada triwulan selanjutnya adalah pengolahan dan analisis data untuk memeriksa kembali validitas termasuk mengecek kembali outlier-outlier yang muncul.</w:t>
      </w:r>
    </w:p>
    <w:p/>
    <w:p/>
    <w:p/>
    <w:p/>
    <w:p>
      <w:r>
        <w:rPr>
          <w:b/>
          <w:sz w:val="23"/>
        </w:rPr>
        <w:t>b. RO Prioritas: Data 5 Sasaran Visi Indonesia Emas dan 45 Indikator Utama Pembangunan</w:t>
      </w:r>
    </w:p>
    <w:p>
      <w:r>
        <w:rPr>
          <w:i/>
          <w:color w:val="C00000"/>
          <w:sz w:val="19"/>
        </w:rPr>
        <w:t>(lokus di Direktorat Analisis Statistik dan Neraca Satelit dan BPS Provinsi -- KHUSUS BPS PROVINSI, hapus bagian ini untuk BPS Kabupaten/Kota)</w:t>
      </w:r>
    </w:p>
    <w:p>
      <w:r>
        <w:rPr>
          <w:sz w:val="22"/>
        </w:rPr>
        <w:t>RO prioritas ini mendukung Proyek Prioritas Nasional terkait Penyediaan Data Pembangunan. Lebih jauh lagi, RO ini mendukung Prioritas Nasional 7 (Memperkuat reformasi politik, hukum, dan birokrasi, serta memperkuat pencegahan dan pemberantasan korupsi, narkoba, judi, dan penyelundupan).</w:t>
      </w:r>
    </w:p>
    <w:p/>
    <w:p>
      <w:r>
        <w:rPr>
          <w:b/>
          <w:sz w:val="21"/>
        </w:rPr>
        <w:t>Tabel B. RO Prioritas: Data 5 Sasaran Visi Indonesia Emas dan 45 Indikator Utama Pembangunan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c. RO Prioritas: Pembinaan Statistik Sektoral</w:t>
      </w:r>
    </w:p>
    <w:p>
      <w:r>
        <w:rPr>
          <w:i/>
          <w:color w:val="C00000"/>
          <w:sz w:val="19"/>
        </w:rPr>
        <w:t>(lokus di Direktorat Diseminasi, Pemberdayaan, dan Evaluasi Penyelenggaraan Statistik, BPS Provinsi, dan BPS Kab/Kot)</w:t>
      </w:r>
    </w:p>
    <w:p>
      <w:r>
        <w:rPr>
          <w:sz w:val="22"/>
        </w:rPr>
        <w:t>RO prioritas ini mendukung Proyek Prioritas Nasional terkait Penyediaan Data Pembangunan. Lebih jauh lagi, RO ini mendukung Prioritas Nasional 7 (Memperkuat reformasi politik, hukum, dan birokrasi, serta memperkuat pencegahan dan pemberantasan korupsi, narkoba, judi, dan penyelundupan).</w:t>
      </w:r>
    </w:p>
    <w:p/>
    <w:p>
      <w:r>
        <w:rPr>
          <w:b/>
          <w:sz w:val="21"/>
        </w:rPr>
        <w:t>Tabel C. RO Prioritas: Pembinaan Statistik Sektoral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sudah melakukan Kolaborasi Sistem Statistik Nasional dengan mengundang narasumber dari Direktorat Analisis dan Neraca Satelit BPS RI, Bappeda, Kominfo, dll. Penyelesaian kegiatan dilakukan secara tepat waktu sesuai jadwal yang ditetapkan BPS RI. Selama melakukan aktivitas atau menghasilkan output tersebut kendala yang muncul di antaranya adalah masih rendahnya implementasi standar statistik dalam penyelenggaraan statistik sektoral oleh OPD. Untuk mengatasi kendala tersebut telah dilakukan beberapa upaya seperti pembinaan statistik sektoral kepada OPD terkait. Dari sisi anggaran, penyerapan anggaran pada RO ini sudah mencapai 45 persen. Kegiatan terkait RO Prioritas ini yang akan dilaksanakan pada triwulan selanjutnya adalah pembinaan terkait Proses Bisnis Statistik pada OPD terkait.</w:t>
      </w:r>
    </w:p>
    <w:p/>
    <w:p/>
    <w:p/>
    <w:p/>
    <w:p>
      <w:r>
        <w:rPr>
          <w:b/>
          <w:sz w:val="23"/>
        </w:rPr>
        <w:t>d. RO Prioritas: Publikasi/Laporan Penyusunan Inflasi</w:t>
      </w:r>
    </w:p>
    <w:p>
      <w:r>
        <w:rPr>
          <w:i/>
          <w:color w:val="C00000"/>
          <w:sz w:val="19"/>
        </w:rPr>
        <w:t>(lokus di Direktorat Statistik Harga, BPS Provinsi, dan BPS Kab/Kot)</w:t>
      </w:r>
    </w:p>
    <w:p>
      <w:r>
        <w:rPr>
          <w:sz w:val="22"/>
        </w:rPr>
        <w:t>RO prioritas ini mendukung Proyek Prioritas Nasional terkait Ketersediaan Inflasi dan Harga Pangan. Lebih jauh lagi, RO ini mendukung Prioritas Nasional 7 (Memperkuat reformasi politik, hukum, dan birokrasi, serta memperkuat pencegahan dan pemberantasan korupsi, narkoba, judi, dan penyelundupan).</w:t>
      </w:r>
    </w:p>
    <w:p/>
    <w:p>
      <w:r>
        <w:rPr>
          <w:b/>
          <w:sz w:val="21"/>
        </w:rPr>
        <w:t>Tabel D. RO Prioritas: Publikasi/Laporan Penyusunan Inflasi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sudah melakukan Penjaminan Kualitas Data dalam bentuk Pengawasan Survei Harga Konsumen. Output dari kegiatan ini berupa rekomendasi peningkatan kualitas data harga. Penyelesaian kegiatan dilakukan secara tepat waktu sesuai jadwal yang ditetapkan BPS RI. Kendala yang muncul di antaranya adalah pindahnya responden survei. Untuk mengatasi kendala tersebut dilakukan pencarian responden pengganti. Dari sisi anggaran, penyerapan anggaran pada RO ini sudah mencapai 25 persen. Kegiatan terkait RO Prioritas ini yang akan dilaksanakan pada triwulan selanjutnya adalah pelaksanaan Survei Harga Konsumen bulan berikutnya.</w:t>
      </w:r>
    </w:p>
    <w:p/>
    <w:p/>
    <w:p/>
    <w:p/>
    <w:p>
      <w:r>
        <w:rPr>
          <w:b/>
          <w:sz w:val="23"/>
        </w:rPr>
        <w:t>e. RO Prioritas: Pembinaan Desa Cantik</w:t>
      </w:r>
    </w:p>
    <w:p>
      <w:r>
        <w:rPr>
          <w:i/>
          <w:color w:val="C00000"/>
          <w:sz w:val="19"/>
        </w:rPr>
        <w:t>(lokus di Direktorat Statistik Ketahanan Sosial, BPS Provinsi, dan BPS Kab/Kot)</w:t>
      </w:r>
    </w:p>
    <w:p>
      <w:r>
        <w:rPr>
          <w:sz w:val="22"/>
        </w:rPr>
        <w:t>RO prioritas ini mendukung Proyek Prioritas Nasional terkait Penguatan Tata Kelola Data Desa. Lebih jauh lagi, RO ini mendukung Prioritas Nasional 6 (Membangun dari desa dan dari bawah untuk pertumbuhan ekonomi, pemerataan ekonomi, dan pemberantasan kemiskinan).</w:t>
      </w:r>
    </w:p>
    <w:p/>
    <w:p>
      <w:r>
        <w:rPr>
          <w:b/>
          <w:sz w:val="21"/>
        </w:rPr>
        <w:t>Tabel E. RO Prioritas: Pembinaan Desa Cantik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sudah melakukan Pembinaan Desa Cinta Statistik pada sejumlah desa dari target desa cinta statistik tahun 2026. Output dari kegiatan ini berupa rencana tindak lanjut penyusunan statistik desa yang berkualitas. Kendala yang muncul di antaranya adalah masih rendahnya pengetahuan perangkat desa mengenai penyelenggaraan pengumpulan data statistik desa yang terstandar. Untuk mengatasi kendala tersebut dilakukan Sosialisasi Standar Data Statistik pada perangkat desa. Dari sisi anggaran, penyerapan anggaran pada RO ini sudah mencapai xx persen.</w:t>
      </w:r>
    </w:p>
    <w:p/>
    <w:p/>
    <w:p/>
    <w:p/>
    <w:p>
      <w:r>
        <w:rPr>
          <w:b/>
          <w:sz w:val="23"/>
        </w:rPr>
        <w:t>f. RO Prioritas: Koordinasi Aksesi OECD Bidang Statistik</w:t>
      </w:r>
    </w:p>
    <w:p>
      <w:r>
        <w:rPr>
          <w:i/>
          <w:color w:val="C00000"/>
          <w:sz w:val="19"/>
        </w:rPr>
        <w:t>(lokus di Biro Perencanaan dan Kerja Sama -- KHUSUS BPS PUSAT, hapus bagian ini untuk BPS Kabupaten/Kota)</w:t>
      </w:r>
    </w:p>
    <w:p>
      <w:r>
        <w:rPr>
          <w:sz w:val="22"/>
        </w:rPr>
        <w:t>RO prioritas ini mendukung Proyek Prioritas Nasional terkait Penilaian Mandiri, Penyusunan dan Penyampaian Dokumen Initial Memorandum kepada Sekretariat OECD. Lebih jauh lagi, RO ini mendukung Prioritas Nasional 2 (Memantapkan Sistem Pertahanan Keamanan Negara dan Mendorong Kemandirian Bangsa melalui Swasembada Pangan, Energi, Air, Ekonomi Syariah, Ekonomi Digital, Ekonomi Hijau, dan Ekonomi Biru).</w:t>
      </w:r>
    </w:p>
    <w:p/>
    <w:p>
      <w:r>
        <w:rPr>
          <w:b/>
          <w:sz w:val="21"/>
        </w:rPr>
        <w:t>Tabel F. RO Prioritas: Koordinasi Aksesi OECD Bidang Statistik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g. Prioritas Presiden: Data Tunggal Sosial Ekonomi Nasional</w:t>
      </w:r>
    </w:p>
    <w:p>
      <w:r>
        <w:rPr>
          <w:i/>
          <w:color w:val="C00000"/>
          <w:sz w:val="19"/>
        </w:rPr>
        <w:t>(lokus di Direktorat Statistik Kesejahteraan Rakyat, BPS Provinsi, dan BPS Kab/Kot)</w:t>
      </w:r>
    </w:p>
    <w:p>
      <w:r>
        <w:rPr>
          <w:sz w:val="22"/>
        </w:rPr>
        <w:t>Instruksi Presiden (Inpres) Nomor 4 Tahun 2025 menjadi landasan pelaksanaan peran strategis Badan Pusat Statistik (BPS) dalam mewujudkan Data Tunggal Sosial Ekonomi Nasional (DTSEN). Prioritas Presiden ini mendukung penyediaan basis data tunggal yang digunakan dalam penyelenggaraan program perlindungan sosial, pemberdayaan masyarakat, dan pembangunan yang tepat sasaran.</w:t>
      </w:r>
    </w:p>
    <w:p/>
    <w:p>
      <w:r>
        <w:rPr>
          <w:b/>
          <w:sz w:val="21"/>
        </w:rPr>
        <w:t>Tabel G. Prioritas Presiden: Data Tunggal Sosial Ekonomi Nasional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telah melaksanakan koordinasi dan pembinaan pelaksanaan pemutakhiran DTSEN bersama pemerintah daerah dan perangkat daerah terkait, serta monitoring kualitas data dan fasilitasi ground check dan verifikasi lapangan. Kendala yang dihadapi antara lain perbedaan pemahaman antarpetugas terkait konsep dan definisi variabel DTSEN. Dari sisi anggaran, penyerapan anggaran pada kegiatan ini telah mencapai xx persen. Pada triwulan selanjutnya akan dilakukan monitoring hasil pemutakhiran dan evaluasi kualitas data.</w:t>
      </w:r>
    </w:p>
    <w:p/>
    <w:p/>
    <w:p/>
    <w:p/>
    <w:p>
      <w:r>
        <w:rPr>
          <w:b/>
          <w:sz w:val="23"/>
        </w:rPr>
        <w:t>h. Prioritas Presiden: Survei Kerangka Sampel Area (KSA) Padi, Survei KSA Jagung, dan Survei Ubinan Padi</w:t>
      </w:r>
    </w:p>
    <w:p>
      <w:r>
        <w:rPr>
          <w:i/>
          <w:color w:val="C00000"/>
          <w:sz w:val="19"/>
        </w:rPr>
        <w:t>(lokus di Direktorat Statistik Sumber Daya Hayati, BPS Provinsi, dan BPS Kab/Kot)</w:t>
      </w:r>
    </w:p>
    <w:p>
      <w:r>
        <w:rPr>
          <w:sz w:val="22"/>
        </w:rPr>
        <w:t>Survei KSA dan Ubinan Padi mendukung pelaksanaan Instruksi Presiden Nomor 6 Tahun 2025 tentang Pengadaan dan Pengelolaan Gabah dan Beras Dalam Negeri serta Penyaluran Cadangan Beras Pemerintah. Survei KSA Jagung mendukung Inpres No. 3 Tahun 2026 tentang Pengadaan dan Pengelolaan Jagung Dalam Negeri serta Penyaluran Cadangan Jagung Pemerintah Tahun 2026-2029.</w:t>
      </w:r>
    </w:p>
    <w:p/>
    <w:p>
      <w:r>
        <w:rPr>
          <w:b/>
          <w:sz w:val="21"/>
        </w:rPr>
        <w:t>Tabel H. Prioritas Presiden: Survei Kerangka Sampel Area (KSA) Padi, Survei KSA Jagung, dan Survei Ubinan Padi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r>
        <w:rPr>
          <w:b/>
          <w:i/>
          <w:color w:val="595959"/>
          <w:sz w:val="21"/>
        </w:rPr>
        <w:t xml:space="preserve">Contoh narasi: </w:t>
      </w:r>
      <w:r>
        <w:rPr>
          <w:i/>
          <w:color w:val="595959"/>
          <w:sz w:val="21"/>
        </w:rPr>
        <w:t>Sampai dengan triwulan II tahun 2026, BPS Kabupaten Buton Utara telah melaksanakan pemutakhiran wilayah observasi, pengumpulan data luas panen melalui KSA Padi dan KSA Jagung, serta pelaksanaan Survei Ubinan Padi pada sampel yang telah ditetapkan. Kendala yang dihadapi antara lain ketidakkonsistenan hasil pengamatan lapangan. Dari sisi anggaran, penyerapan anggaran kegiatan telah mencapai xx persen. Pada triwulan selanjutnya akan dilakukan pengumpulan data lanjutan dan pengawasan kualitas hasil pendataan guna menjaga kualitas data produksi padi.</w:t>
      </w:r>
    </w:p>
    <w:p/>
    <w:p/>
    <w:p/>
    <w:p/>
    <w:p>
      <w:r>
        <w:rPr>
          <w:b/>
          <w:sz w:val="23"/>
        </w:rPr>
        <w:t>i. Prioritas Presiden: Kemiskinan Ekstrem</w:t>
      </w:r>
    </w:p>
    <w:p>
      <w:r>
        <w:rPr>
          <w:i/>
          <w:color w:val="C00000"/>
          <w:sz w:val="19"/>
        </w:rPr>
        <w:t>(lokus di Direktorat Statistik Ketahanan Sosial, BPS Provinsi, dan BPS Kab/Kot)</w:t>
      </w:r>
    </w:p>
    <w:p>
      <w:r>
        <w:rPr>
          <w:sz w:val="22"/>
        </w:rPr>
        <w:t>Sebagai implementasi Instruksi Presiden (Inpres) No. 8 Tahun 2025 tentang Optimalisasi Pelaksanaan Pengentasan Kemiskinan dan Penghapusan Kemiskinan Ekstrem, BPS melaksanakan penghitungan kemiskinan ekstrem secara berkala.</w:t>
      </w:r>
    </w:p>
    <w:p/>
    <w:p>
      <w:r>
        <w:rPr>
          <w:b/>
          <w:sz w:val="21"/>
        </w:rPr>
        <w:t>Tabel I. Prioritas Presiden: Kemiskinan Ekstrem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j. Prioritas Presiden: Perpres 12 Tahun 2025 tentang Survei Kesejahteraan Petani</w:t>
      </w:r>
    </w:p>
    <w:p>
      <w:r>
        <w:rPr>
          <w:i/>
          <w:color w:val="C00000"/>
          <w:sz w:val="19"/>
        </w:rPr>
        <w:t>(lokus di Direktorat Statistik Sumber Daya Hayati, BPS Provinsi, dan BPS Kab/Kot)</w:t>
      </w:r>
    </w:p>
    <w:p>
      <w:r>
        <w:rPr>
          <w:sz w:val="22"/>
        </w:rPr>
        <w:t>Survei Kesejahteraan Petani (SKP) merupakan pelaksanaan mandat Perpres Nomor 12 Tahun 2025 tentang RPJMN 2025-2029, diperkuat Nota Kesepahaman Kementerian Pertanian dan BPS, menghasilkan Indeks Kesejahteraan Petani (IKP).</w:t>
      </w:r>
    </w:p>
    <w:p/>
    <w:p>
      <w:r>
        <w:rPr>
          <w:b/>
          <w:sz w:val="21"/>
        </w:rPr>
        <w:t>Tabel J. Prioritas Presiden: Perpres 12 Tahun 2025 tentang Survei Kesejahteraan Petani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k. Isu Strategis: Sensus Ekonomi 2026</w:t>
      </w:r>
    </w:p>
    <w:p>
      <w:r>
        <w:rPr>
          <w:i/>
          <w:color w:val="C00000"/>
          <w:sz w:val="19"/>
        </w:rPr>
        <w:t>(lokus di Direktorat Statistik Distribusi, BPS Provinsi, dan BPS Kab/Kot)</w:t>
      </w:r>
    </w:p>
    <w:p>
      <w:r>
        <w:rPr>
          <w:sz w:val="22"/>
        </w:rPr>
        <w:t>Pelaksanaan Sensus Ekonomi (SE) sebagaimana diamanatkan Undang-Undang Nomor 16 Tahun 1997 tentang Statistik merupakan kegiatan statistik berskala nasional yang dilaksanakan setiap sepuluh tahun.</w:t>
      </w:r>
    </w:p>
    <w:p/>
    <w:p>
      <w:r>
        <w:rPr>
          <w:b/>
          <w:sz w:val="21"/>
        </w:rPr>
        <w:t>Tabel K. Isu Strategis: Sensus Ekonomi 2026</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l. Isu Strategis: Neraca Arus Energi dan Neraca Emisi Gas Rumah Kaca</w:t>
      </w:r>
    </w:p>
    <w:p>
      <w:r>
        <w:rPr>
          <w:i/>
          <w:color w:val="C00000"/>
          <w:sz w:val="19"/>
        </w:rPr>
        <w:t>(lokus di Direktorat Neraca Produksi dan Direktorat Analisis dan Neraca Satelit)</w:t>
      </w:r>
    </w:p>
    <w:p>
      <w:r>
        <w:rPr>
          <w:sz w:val="22"/>
        </w:rPr>
        <w:t>Penghitungan Neraca Arus Energi (NAE) dan Neraca Emisi Gas Rumah Kaca (GRK) menyediakan basis data objektif (evidence-based policy) bagi pemerintah dalam merumuskan kebijakan transisi energi bersih, mengidentifikasi sektor tinggi emisi, serta memenuhi komitmen iklim global seperti target Net Zero Emission.</w:t>
      </w:r>
    </w:p>
    <w:p/>
    <w:p>
      <w:r>
        <w:rPr>
          <w:b/>
          <w:sz w:val="21"/>
        </w:rPr>
        <w:t>Tabel L. Isu Strategis: Neraca Arus Energi dan Neraca Emisi Gas Rumah Kaca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m. Isu Strategis: Data Komoditas Gula, Pergaraman, Jagung, Beras, Daging Lembu, Perikanan, dan Bawang Putih</w:t>
      </w:r>
    </w:p>
    <w:p>
      <w:r>
        <w:rPr>
          <w:i/>
          <w:color w:val="C00000"/>
          <w:sz w:val="19"/>
        </w:rPr>
        <w:t>(lokus di Direktorat Statistik Sumber Daya Hayati, Direktorat Statistik Sumber Daya Mineral dan Konstruksi, Direktorat Statistik Industri, BPS Provinsi, dan BPS Kab/Kot)</w:t>
      </w:r>
    </w:p>
    <w:p>
      <w:r>
        <w:rPr>
          <w:sz w:val="22"/>
        </w:rPr>
        <w:t>Dalam rangka mendukung pelaksanaan Perpres Nomor 7 Tahun 2025 tentang Perubahan atas Perpres 61/2024 mengenai Neraca Komoditas serta Perpres Nomor 17 Tahun 2025 tentang Percepatan Pembangunan Pergaraman Nasional, telah dilakukan kegiatan penyediaan data komoditas pangan strategis sebagai bahan evaluasi ketersediaan pasokan pangan nasional.</w:t>
      </w:r>
    </w:p>
    <w:p/>
    <w:p>
      <w:r>
        <w:rPr>
          <w:b/>
          <w:sz w:val="21"/>
        </w:rPr>
        <w:t>Tabel M. Isu Strategis: Data Komoditas Gula, Pergaraman, Jagung, Beras, Daging Lembu, Perikanan, dan Bawang Putih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p>
      <w:r>
        <w:rPr>
          <w:b/>
          <w:sz w:val="23"/>
        </w:rPr>
        <w:t>n. Isu Strategis: Satuan Tugas Percepatan Rehabilitasi dan Rekonstruksi Pascabencana Alam di Provinsi Aceh, Provinsi Sumatera Utara, dan Provinsi Sumatera Barat</w:t>
      </w:r>
    </w:p>
    <w:p>
      <w:r>
        <w:rPr>
          <w:i/>
          <w:color w:val="C00000"/>
          <w:sz w:val="19"/>
        </w:rPr>
        <w:t>(lokus di Direktorat Statistik Ketahanan Sosial, BPS Provinsi terkait, dan BPS Kab/Kot terkait -- KHUSUS wilayah terdampak, HAPUS bagian ini karena Buton Utara bukan wilayah terdampak)</w:t>
      </w:r>
    </w:p>
    <w:p>
      <w:r>
        <w:rPr>
          <w:sz w:val="22"/>
        </w:rPr>
        <w:t>Keputusan Presiden Nomor 1 Tahun 2026 menjadi landasan strategis pembentukan Satuan Tugas untuk mempercepat rehabilitasi dan rekonstruksi pascabencana di Aceh, Sumatera Utara, dan Sumatera Barat dengan mengedepankan prinsip Build Back Better.</w:t>
      </w:r>
    </w:p>
    <w:p/>
    <w:p>
      <w:r>
        <w:rPr>
          <w:b/>
          <w:sz w:val="21"/>
        </w:rPr>
        <w:t>Tabel N. Isu Strategis: Satuan Tugas Percepatan Rehabilitasi dan Rekonstruksi Pascabencana Alam di Provinsi Aceh, Provinsi Sumatera Utara, dan Provinsi Sumatera Barat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pPr>
            <w:r/>
            <w:r>
              <w:rPr>
                <w:b/>
                <w:i w:val="0"/>
              </w:rPr>
              <w:t>Rincian Output (RO)</w:t>
            </w:r>
          </w:p>
        </w:tc>
        <w:tc>
          <w:tcPr>
            <w:tcW w:type="dxa" w:w="1728"/>
            <w:shd w:val="clear" w:color="auto" w:fill="D9D9D9"/>
          </w:tcPr>
          <w:p>
            <w:pPr>
              <w:jc w:val="center"/>
            </w:pPr>
            <w:r/>
            <w:r>
              <w:rPr>
                <w:b/>
                <w:i w:val="0"/>
              </w:rPr>
              <w:t>Satuan</w:t>
            </w:r>
          </w:p>
        </w:tc>
        <w:tc>
          <w:tcPr>
            <w:tcW w:type="dxa" w:w="1728"/>
            <w:shd w:val="clear" w:color="auto" w:fill="D9D9D9"/>
          </w:tcPr>
          <w:p>
            <w:pPr>
              <w:jc w:val="center"/>
            </w:pPr>
            <w:r/>
            <w:r>
              <w:rPr>
                <w:b/>
                <w:i w:val="0"/>
              </w:rPr>
              <w:t>Target Output*</w:t>
            </w:r>
          </w:p>
        </w:tc>
        <w:tc>
          <w:tcPr>
            <w:tcW w:type="dxa" w:w="1728"/>
            <w:shd w:val="clear" w:color="auto" w:fill="D9D9D9"/>
          </w:tcPr>
          <w:p>
            <w:pPr>
              <w:jc w:val="center"/>
            </w:pPr>
            <w:r/>
            <w:r>
              <w:rPr>
                <w:b/>
                <w:i w:val="0"/>
              </w:rPr>
              <w:t>Realisasi Output*</w:t>
            </w:r>
          </w:p>
        </w:tc>
        <w:tc>
          <w:tcPr>
            <w:tcW w:type="dxa" w:w="1728"/>
            <w:shd w:val="clear" w:color="auto" w:fill="D9D9D9"/>
          </w:tcPr>
          <w:p>
            <w:pPr>
              <w:jc w:val="center"/>
            </w:pPr>
            <w:r/>
            <w:r>
              <w:rPr>
                <w:b/>
                <w:i w:val="0"/>
              </w:rPr>
              <w:t>Realisasi Anggaran (%)*</w:t>
            </w:r>
          </w:p>
        </w:tc>
      </w:tr>
      <w:tr>
        <w:tc>
          <w:tcPr>
            <w:tcW w:type="dxa" w:w="1728"/>
          </w:tcPr>
          <w:p>
            <w:r/>
            <w:r>
              <w:rPr>
                <w:b w:val="0"/>
                <w:i w:val="0"/>
              </w:rPr>
              <w:t/>
            </w:r>
          </w:p>
        </w:tc>
        <w:tc>
          <w:tcPr>
            <w:tcW w:type="dxa" w:w="1728"/>
          </w:tcPr>
          <w:p>
            <w:pPr>
              <w:jc w:val="center"/>
            </w:pPr>
            <w:r/>
            <w:r>
              <w:rPr>
                <w:b w:val="0"/>
                <w:i w:val="0"/>
              </w:rPr>
              <w:t/>
            </w:r>
          </w:p>
        </w:tc>
        <w:tc>
          <w:tcPr>
            <w:tcW w:type="dxa" w:w="1728"/>
          </w:tcPr>
          <w:p>
            <w:r/>
            <w:r>
              <w:rPr>
                <w:b w:val="0"/>
                <w:i w:val="0"/>
              </w:rPr>
            </w:r>
          </w:p>
        </w:tc>
        <w:tc>
          <w:tcPr>
            <w:tcW w:type="dxa" w:w="1728"/>
          </w:tcPr>
          <w:p>
            <w:r/>
            <w:r>
              <w:rPr>
                <w:b w:val="0"/>
                <w:i w:val="0"/>
              </w:rPr>
            </w:r>
          </w:p>
        </w:tc>
        <w:tc>
          <w:tcPr>
            <w:tcW w:type="dxa" w:w="1728"/>
          </w:tcPr>
          <w:p>
            <w:r/>
            <w:r>
              <w:rPr>
                <w:b w:val="0"/>
                <w:i w:val="0"/>
              </w:rPr>
            </w:r>
          </w:p>
        </w:tc>
      </w:tr>
    </w:tbl>
    <w:p>
      <w:r>
        <w:rPr>
          <w:i/>
          <w:color w:val="C00000"/>
          <w:sz w:val="18"/>
        </w:rPr>
        <w:t>* Kondisi tanggal (tuliskan tanggal penarikan data target output, realisasi output, dan realisasi anggaran per RO). Jika ada RO yang tidak terdapat di Uker Buton Utara, baris tsb bisa langsung dihapus.</w:t>
      </w:r>
    </w:p>
    <w:p/>
    <w:p>
      <w:r>
        <w:rPr>
          <w:i/>
          <w:color w:val="C00000"/>
          <w:sz w:val="20"/>
        </w:rPr>
        <w:t>(Jelaskan aktivitas yang sudah dilakukan, output yang sudah dihasilkan, kendala, dan solusi sampai dengan triwulan berjalan, dan rencana tindak lanjut/rencana aksi pada triwulan selanjutnya yang berkaitan dengan prioritas ini.)</w:t>
      </w:r>
    </w:p>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