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000000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000000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000000"/>
              </w:rPr>
              <w:t>{{sasaran}}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{{target_pk}}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{{realisasi_tw}}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{{capaian_pk}}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000000"/>
              </w:rPr>
              <w:t>{{analisis_capaian}}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8638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{{ro_vol}}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{{ro_progres}}</w:t>
            </w:r>
          </w:p>
        </w:tc>
      </w:tr>
      <w:tr>
        <w:tc>
          <w:tcPr>
            <w:tcW w:type="dxa" w:w="8638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{{target_proksi}}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000000"/>
              </w:rPr>
              <w:t>{{realisasi_proksi}}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000000"/>
              </w:rPr>
              <w:t>{{kendala}}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000000"/>
              </w:rPr>
              <w:t>{{solusi}}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000000"/>
              </w:rPr>
              <w:t>{{rtl}}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000000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000000"/>
              </w:rPr>
              <w:t>{{batas_waktu_rtl}}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  <w:p>
            <w:r>
              <w:t xml:space="preserve">{{blok_formula}}</w:t>
            </w:r>
          </w:p>
          <w:p>
            <w:pPr>
              <w:jc w:val="center"/>
            </w:pPr>
            <w:r>
              <w:rPr>
                <w:b w:val="0"/>
                <w:i w:val="0"/>
                <w:color w:val="000000"/>
              </w:rPr>
              <w:t xml:space="preserve">{{formula_capaian}}</w:t>
            </w:r>
          </w:p>
          <w:p>
            <w:r>
              <w:t xml:space="preserve">{{/blok_formula}}</w:t>
            </w:r>
          </w:p>
          <w:p>
            <w:r/>
            <w:r>
              <w:rPr>
                <w:b w:val="0"/>
                <w:i w:val="0"/>
                <w:color w:val="000000"/>
              </w:rPr>
              <w:t>{{dasar_hitung}}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  <w:p>
            <w:r/>
            <w:r>
              <w:rPr>
                <w:b w:val="0"/>
                <w:i w:val="0"/>
                <w:color w:val="000000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000000"/>
        </w:rPr>
        <w:t>{{bagian_2}}</w:t>
      </w:r>
    </w:p>
    <w:p/>
    <w:p>
      <w:r>
        <w:rPr>
          <w:i/>
          <w:color w:val="000000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