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NOTULA RAPAT -- BAGIAN I</w:t>
      </w:r>
    </w:p>
    <w:p>
      <w:r>
        <w:rPr>
          <w:b/>
          <w:sz w:val="24"/>
        </w:rPr>
        <w:t>Capaian Kinerja Triwulan Berjalan (referensi struktur -- BUKAN untuk diunggah)</w:t>
      </w:r>
    </w:p>
    <w:p/>
    <w:p>
      <w:r>
        <w:rPr>
          <w:i/>
          <w:color w:val="C00000"/>
          <w:sz w:val="19"/>
        </w:rPr>
        <w:t>PENTING: Bagian I TIDAK diunggah sebagai berkas. SIPINTER menyusunnya OTOMATIS dari data yang sudah Anda isi di halaman Master IKU, Verifikasi Capaian, Kendala &amp; Solusi, dan RTL, lalu mencetaknya persis mengikuti struktur resmi "Template Notula Monitoring Kinerja Triwulanan BPS Prov dan Kako -- Update Prioritas" seperti dicontohkan di bawah ini untuk tiap Sasaran/IKU. Gunakan berkas ini sebagai PANDUAN: isi kolom di aplikasi yang disebutkan pada tiap bagian (cetak tebal biru), lalu klik "Susun Ulang Otomatis" di halaman Kompilasi Notula.</w:t>
      </w:r>
    </w:p>
    <w:p/>
    <w:p>
      <w:r>
        <w:rPr>
          <w:sz w:val="22"/>
        </w:rPr>
        <w:t>Capaian Kinerja IKU triwulan berjalan terhadap target triwulanan pada BPS Kabupaten Buton Utara sebesar ... persen. Sedangkan terhadap target tahun berjalan (target PK), capaian kinerjanya sebesar ... persen. (Ringkasan ini dihitung otomatis dari rata-rata capaian seluruh IKU.)</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Kependudukan Dan Ketenagakerjaan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1111 Persentase Publikasi/Laporan Statistik Kependudukan Dan Ketenagakerjaan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Kesejahteraan Rakyat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1131 Persentase Publikasi/Laporan Statistik Kesejahteraan Rakyat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Ketahanan Sosial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1151 Persentase Publikasi/Laporan Statistik Ketahanan Sosial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Sumber Daya Hayati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1211 Persentase Publikasi/Laporan Statistik Sumber Daya Hayati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Sumber Daya Mineral dan Konstruksi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1221 Persentase Publikasi/Laporan Statistik Sumber Daya Mineral dan Konstruksi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Industri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1231 Persentase Publikasi/Laporan Statistik Industri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Distribusi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1311 Persentase Publikasi/Laporan Statistik Distribusi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Harga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1331 Persentase Publikasi/Laporan Statistik Harga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Jasa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1351 Persentase Publikasi/Laporan Statistik Jasa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Lintas Sektor Yang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1411 Persentase Publikasi/Laporan Neraca Produksi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Lintas Sektor Yang Berkualitas (lanjutan)</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1412 Persentase Publikasi/Laporan Neraca Pengeluaran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Penyediaan Data Dan Insight Statistik Lintas Sektor Yang Berkualitas (lanjutan)</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1413 Persentase Publikasi/Laporan Analisis Statistik dan Neraca Satelit Yang Berkualitas</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Kapasitas Tata Kelola Pemerintah Desa Untuk Menghasilkan Statistik Berkualitas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2141 Persentase Kumulatif Desa Yang Berpredikat Desa Cinta Statistik</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Penguatan Penyelenggaraan Pembinaan Statistik Sektoral Kementerian/Lembaga/Pemerintah Daerah</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2511 Tingkat Penyelenggaraan Pembinaan Statistik Sektoral sesuai standar</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Kemudahan Akses Data BPS</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2711 Indeks Pelayanan Publik - Penilaian Mandiri</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Dukungan Manajemen Pada BPS Provinsi dan BPS Kabupaten/Kota yang Efektif dan Efisien</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3241 Nilai SAKIP oleh Inspektorat</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p>
      <w:r>
        <w:rPr>
          <w:i/>
          <w:color w:val="C00000"/>
          <w:sz w:val="18"/>
        </w:rPr>
        <w:t>Format khusus: bukan tabel Realisasi Volume RO -- diganti tabel "Indikator Proksi" (Target/Realisasi s.d. triwulan berjalan) untuk pertanyaan "persentase monitoring capaian kinerja triwulanan yang terlaksana tepat waktu".</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8640"/>
            <w:gridSpan w:val="6"/>
            <w:shd w:val="clear" w:color="auto" w:fill="D9D9D9"/>
          </w:tcPr>
          <w:p>
            <w:r/>
            <w:r>
              <w:rPr>
                <w:b/>
                <w:i w:val="0"/>
              </w:rPr>
              <w:t>Sasaran : Terwujudnya Dukungan Manajemen Pada BPS Provinsi dan BPS Kabupaten/Kota yang Efektif dan Efisien (lanjutan)</w:t>
            </w:r>
          </w:p>
        </w:tc>
      </w:tr>
      <w:tr>
        <w:tc>
          <w:tcPr>
            <w:tcW w:type="dxa" w:w="1440"/>
            <w:shd w:val="clear" w:color="auto" w:fill="F2F2F2"/>
          </w:tcPr>
          <w:p>
            <w:pPr>
              <w:jc w:val="center"/>
            </w:pPr>
            <w:r/>
            <w:r>
              <w:rPr>
                <w:b/>
                <w:i w:val="0"/>
                <w:sz w:val="19"/>
              </w:rPr>
              <w:t>No.</w:t>
            </w:r>
          </w:p>
        </w:tc>
        <w:tc>
          <w:tcPr>
            <w:tcW w:type="dxa" w:w="1440"/>
            <w:shd w:val="clear" w:color="auto" w:fill="F2F2F2"/>
          </w:tcPr>
          <w:p>
            <w:pPr>
              <w:jc w:val="center"/>
            </w:pPr>
            <w:r/>
            <w:r>
              <w:rPr>
                <w:b/>
                <w:i w:val="0"/>
                <w:sz w:val="19"/>
              </w:rPr>
              <w:t>Indikator Kinerja</w:t>
            </w:r>
          </w:p>
        </w:tc>
        <w:tc>
          <w:tcPr>
            <w:tcW w:type="dxa" w:w="1440"/>
            <w:shd w:val="clear" w:color="auto" w:fill="F2F2F2"/>
          </w:tcPr>
          <w:p>
            <w:pPr>
              <w:jc w:val="center"/>
            </w:pPr>
            <w:r/>
            <w:r>
              <w:rPr>
                <w:b/>
                <w:i w:val="0"/>
                <w:sz w:val="19"/>
              </w:rPr>
              <w:t>Target PK</w:t>
            </w:r>
          </w:p>
        </w:tc>
        <w:tc>
          <w:tcPr>
            <w:tcW w:type="dxa" w:w="1440"/>
            <w:shd w:val="clear" w:color="auto" w:fill="F2F2F2"/>
          </w:tcPr>
          <w:p>
            <w:pPr>
              <w:jc w:val="center"/>
            </w:pPr>
            <w:r/>
            <w:r>
              <w:rPr>
                <w:b/>
                <w:i w:val="0"/>
                <w:sz w:val="19"/>
              </w:rPr>
              <w:t>Target Triwulan</w:t>
            </w:r>
          </w:p>
        </w:tc>
        <w:tc>
          <w:tcPr>
            <w:tcW w:type="dxa" w:w="1440"/>
            <w:shd w:val="clear" w:color="auto" w:fill="F2F2F2"/>
          </w:tcPr>
          <w:p>
            <w:pPr>
              <w:jc w:val="center"/>
            </w:pPr>
            <w:r/>
            <w:r>
              <w:rPr>
                <w:b/>
                <w:i w:val="0"/>
                <w:sz w:val="19"/>
              </w:rPr>
              <w:t>Realisasi Triwulan</w:t>
            </w:r>
          </w:p>
        </w:tc>
        <w:tc>
          <w:tcPr>
            <w:tcW w:type="dxa" w:w="1440"/>
            <w:shd w:val="clear" w:color="auto" w:fill="F2F2F2"/>
          </w:tcPr>
          <w:p>
            <w:pPr>
              <w:jc w:val="center"/>
            </w:pPr>
            <w:r/>
            <w:r>
              <w:rPr>
                <w:b/>
                <w:i w:val="0"/>
                <w:sz w:val="19"/>
              </w:rPr>
              <w:t>Capaian Thd Target PK</w:t>
            </w:r>
          </w:p>
        </w:tc>
      </w:tr>
      <w:tr>
        <w:tc>
          <w:tcPr>
            <w:tcW w:type="dxa" w:w="1440"/>
          </w:tcPr>
          <w:p>
            <w:pPr>
              <w:jc w:val="center"/>
            </w:pPr>
            <w:r/>
            <w:r>
              <w:rPr>
                <w:b w:val="0"/>
                <w:i w:val="0"/>
              </w:rPr>
              <w:t>1</w:t>
            </w:r>
          </w:p>
        </w:tc>
        <w:tc>
          <w:tcPr>
            <w:tcW w:type="dxa" w:w="1440"/>
          </w:tcPr>
          <w:p>
            <w:r/>
            <w:r>
              <w:rPr>
                <w:b w:val="0"/>
                <w:i w:val="0"/>
                <w:sz w:val="19"/>
              </w:rPr>
              <w:t>3242 Indeks Implementasi BerAKHLAK</w:t>
            </w:r>
          </w:p>
        </w:tc>
        <w:tc>
          <w:tcPr>
            <w:tcW w:type="dxa" w:w="1440"/>
          </w:tcPr>
          <w:p>
            <w:r/>
            <w:r>
              <w:rPr>
                <w:b w:val="0"/>
                <w:i w:val="0"/>
              </w:rPr>
            </w:r>
          </w:p>
        </w:tc>
        <w:tc>
          <w:tcPr>
            <w:tcW w:type="dxa" w:w="1440"/>
          </w:tcPr>
          <w:p>
            <w:r/>
            <w:r>
              <w:rPr>
                <w:b w:val="0"/>
                <w:i w:val="0"/>
              </w:rPr>
            </w:r>
          </w:p>
        </w:tc>
        <w:tc>
          <w:tcPr>
            <w:tcW w:type="dxa" w:w="1440"/>
          </w:tcPr>
          <w:p>
            <w:r/>
            <w:r>
              <w:rPr>
                <w:b w:val="0"/>
                <w:i w:val="0"/>
              </w:rPr>
            </w:r>
          </w:p>
        </w:tc>
        <w:tc>
          <w:tcPr>
            <w:tcW w:type="dxa" w:w="1440"/>
          </w:tcPr>
          <w:p>
            <w:r/>
            <w:r>
              <w:rPr>
                <w:b w:val="0"/>
                <w:i w:val="0"/>
              </w:rPr>
            </w:r>
          </w:p>
        </w:tc>
      </w:tr>
    </w:tbl>
    <w:p>
      <w:r>
        <w:rPr>
          <w:b/>
          <w:i/>
          <w:color w:val="1F4E79"/>
          <w:sz w:val="19"/>
        </w:rPr>
        <w:t>↳ Diisi di aplikasi: Sasaran &amp; Indikator Kinerja di halaman Master IKU; Target/Realisasi di Verifikasi Capaian.</w:t>
      </w:r>
    </w:p>
    <w:p>
      <w:r>
        <w:rPr>
          <w:i/>
          <w:color w:val="C00000"/>
          <w:sz w:val="18"/>
        </w:rPr>
        <w:t>Format khusus: TANPA tabel sama sekali -- hanya pertanyaan analisis "persentase kegiatan untuk mengoptimalkan implementasi BerAKHLAK yang terlaksana sesuai rencana".</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Analisis Capaian Kinerja</w:t>
            </w:r>
          </w:p>
        </w:tc>
      </w:tr>
      <w:tr>
        <w:tc>
          <w:tcPr>
            <w:tcW w:type="dxa" w:w="8640"/>
          </w:tcPr>
          <w:p>
            <w:r/>
            <w:r>
              <w:rPr>
                <w:b w:val="0"/>
                <w:i w:val="0"/>
              </w:rPr>
            </w:r>
          </w:p>
        </w:tc>
      </w:tr>
    </w:tbl>
    <w:p>
      <w:r>
        <w:rPr>
          <w:b/>
          <w:i/>
          <w:color w:val="1F4E79"/>
          <w:sz w:val="19"/>
        </w:rPr>
        <w:t>↳ Diisi di aplikasi: kolom "Analisis Capaian Kinerja" pada Verifikasi Capaian -- boleh beberapa paragraf/daftar bernomor.</w:t>
      </w:r>
    </w:p>
    <w:p>
      <w:r>
        <w:rPr>
          <w:i/>
          <w:color w:val="C00000"/>
          <w:sz w:val="18"/>
        </w:rPr>
        <w:t>Realisasi Volume RO dan Progress Pelaksanaan Kegiatan sampai dengan Triwulan Berjalan (HANYA tercetak otomatis bila realisasi IKU ini pada triwulan berjalan masih kosong):</w:t>
      </w:r>
    </w:p>
    <w:p>
      <w:r>
        <w:rPr>
          <w:b/>
          <w:i/>
          <w:color w:val="1F4E79"/>
          <w:sz w:val="19"/>
        </w:rPr>
        <w:t>↳ Diisi di aplikasi: kolom Volume RO / Progres Pelaksanaan pada Isian Kegiatan.</w:t>
      </w:r>
    </w:p>
    <w:p>
      <w:r>
        <w:rPr>
          <w:b/>
          <w:sz w:val="21"/>
        </w:rPr>
        <w:t>Kendala :</w:t>
      </w:r>
    </w:p>
    <w:p>
      <w:pPr>
        <w:pStyle w:val="ListNumber"/>
      </w:pPr>
      <w:r/>
    </w:p>
    <w:p>
      <w:r>
        <w:rPr>
          <w:b/>
          <w:i/>
          <w:color w:val="1F4E79"/>
          <w:sz w:val="19"/>
        </w:rPr>
        <w:t>↳ Diisi di aplikasi: satu baris = satu catatan "Kendala" pada Verifikasi Capaian (boleh lebih dari satu per indikator).</w:t>
      </w:r>
    </w:p>
    <w:p>
      <w:r>
        <w:rPr>
          <w:b/>
          <w:sz w:val="21"/>
        </w:rPr>
        <w:t>Solusi :</w:t>
      </w:r>
    </w:p>
    <w:p>
      <w:pPr>
        <w:pStyle w:val="ListNumber"/>
      </w:pPr>
      <w:r/>
    </w:p>
    <w:p>
      <w:r>
        <w:rPr>
          <w:b/>
          <w:i/>
          <w:color w:val="1F4E79"/>
          <w:sz w:val="19"/>
        </w:rPr>
        <w:t>↳ Diisi di aplikasi: "Solusi" berpasangan dengan Kendala di atas, pada Verifikasi Capaian.</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Rencana Tindak Lanjut (RTL)</w:t>
            </w:r>
          </w:p>
        </w:tc>
        <w:tc>
          <w:tcPr>
            <w:tcW w:type="dxa" w:w="4320"/>
          </w:tcPr>
          <w:p>
            <w:r/>
            <w:r>
              <w:rPr>
                <w:b w:val="0"/>
                <w:i w:val="0"/>
              </w:rPr>
              <w:t>PIC Tindak Lanjut :</w:t>
              <w:br/>
              <w:br/>
              <w:t>Batas Waktu Tindak Lanjut :</w:t>
            </w:r>
          </w:p>
        </w:tc>
      </w:tr>
    </w:tbl>
    <w:p>
      <w:r>
        <w:rPr>
          <w:b/>
          <w:i/>
          <w:color w:val="1F4E79"/>
          <w:sz w:val="19"/>
        </w:rPr>
        <w:t>↳ Diisi di aplikasi: halaman RTL Evaluasi -- PIC &amp; Batas Waktu dicetak sekali untuk seluruh daftar RTL indikator ini.</w:t>
      </w:r>
    </w:p>
    <w:tbl>
      <w:tblPr>
        <w:tblStyle w:val="TableGrid"/>
        <w:tblW w:type="auto" w:w="0"/>
        <w:tblLook w:firstColumn="1" w:firstRow="1" w:lastColumn="0" w:lastRow="0" w:noHBand="0" w:noVBand="1" w:val="04A0"/>
      </w:tblPr>
      <w:tblGrid>
        <w:gridCol w:w="8640"/>
      </w:tblGrid>
      <w:tr>
        <w:tc>
          <w:tcPr>
            <w:tcW w:type="dxa" w:w="8640"/>
            <w:shd w:val="clear" w:color="auto" w:fill="D9D9D9"/>
          </w:tcPr>
          <w:p>
            <w:pPr>
              <w:jc w:val="center"/>
            </w:pPr>
            <w:r/>
            <w:r>
              <w:rPr>
                <w:b/>
                <w:i w:val="0"/>
              </w:rPr>
              <w:t>Dasar Hitung/Bukti Dukung/Lainnya</w:t>
            </w:r>
          </w:p>
        </w:tc>
      </w:tr>
      <w:tr>
        <w:tc>
          <w:tcPr>
            <w:tcW w:type="dxa" w:w="8640"/>
          </w:tcPr>
          <w:p>
            <w:r/>
            <w:r>
              <w:rPr>
                <w:b w:val="0"/>
                <w:i w:val="0"/>
                <w:sz w:val="19"/>
              </w:rPr>
              <w:t>Dasar Hitung dan Basis Data Realisasi IKU :</w:t>
              <w:br/>
              <w:t>(rumus, dimana:, rincian n= mencakup/N= mencakup ...)</w:t>
              <w:br/>
              <w:br/>
              <w:t>Tautan Bukti Dukung Realisasi Target : (otomatis dari folder Drive IKU ini)</w:t>
              <w:br/>
              <w:t>Tautan Bukti Dukung Tindak Lanjut Triwulan Sebelumnya : (otomatis)</w:t>
              <w:br/>
              <w:t>RTL triwulan sebelumnya yang telah dilaksanakan : (otomatis, kosong di Triwulan I)</w:t>
              <w:br/>
              <w:br/>
              <w:t>Penjelasan/pembahasan lainnya :</w:t>
            </w:r>
          </w:p>
        </w:tc>
      </w:tr>
    </w:tbl>
    <w:p>
      <w:r>
        <w:rPr>
          <w:b/>
          <w:i/>
          <w:color w:val="1F4E79"/>
          <w:sz w:val="19"/>
        </w:rPr>
        <w:t>↳ Diisi di aplikasi: "Dasar Hitung" pada Master IKU (boleh multi-baris); "Penjelasan/Pembahasan Lainnya" pada Verifikasi Capaian.</w:t>
      </w:r>
    </w:p>
    <w:p/>
    <w:p>
      <w:r>
        <w:rPr>
          <w:i/>
          <w:color w:val="C00000"/>
          <w:sz w:val="19"/>
        </w:rPr>
        <w:t>Link "Lampiran Basis Data IKU" (jika BPS Kabupaten Buton Utara memilikinya, mis. http://s.bps.go.id/7409_LampiranBasisDataIKU2026) diisi sekali lewat "Link Lampiran Basis Data IKU" pada Detail Rapat -- akan dicetak ulang otomatis di bawah tiap blok Dasar Hitung.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