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1F4E79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1F4E79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1F4E79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1F4E79"/>
              </w:rPr>
              <w:t>{{sasaran}}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{{target_pk}}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{{target_tw}}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{{realisasi_tw}}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{{capaian_pk}}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{{analisis_capaian}}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8638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{{ro_vol}}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{{ro_progres}}</w:t>
            </w:r>
          </w:p>
        </w:tc>
      </w:tr>
      <w:tr>
        <w:tc>
          <w:tcPr>
            <w:tcW w:type="dxa" w:w="8638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1F4E79"/>
              </w:rPr>
              <w:t>{{target_proksi}}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1F4E79"/>
              </w:rPr>
              <w:t>{{realisasi_proksi}}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1F4E79"/>
              </w:rPr>
              <w:t>{{kendala}}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1F4E79"/>
              </w:rPr>
              <w:t>{{solusi}}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1F4E79"/>
              </w:rPr>
              <w:t>{{rtl}}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1F4E79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1F4E79"/>
              </w:rPr>
              <w:t>{{batas_waktu_rtl}}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{{dasar_hitung}}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1F4E79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i/>
          <w:color w:val="1F4E79"/>
        </w:rPr>
        <w:t>{{bagian_2}}</w:t>
      </w:r>
    </w:p>
    <w:p/>
    <w:p>
      <w:r>
        <w:rPr>
          <w:i/>
          <w:color w:val="1F4E79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1F4E79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Arial" w:hAnsi="Arial" w:eastAsia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