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b/>
          <w:i w:val="0"/>
          <w:color w:val="1D4E89"/>
          <w:sz w:val="30"/>
        </w:rPr>
        <w:t>TEMPLATE BAGIAN III — REALISASI ANGGARAN, UPAYA EFISIENSI &amp; PEMBAHASAN LAINNYA</w:t>
      </w:r>
    </w:p>
    <w:p>
      <w:pPr>
        <w:spacing w:before="80" w:after="120" w:line="276" w:lineRule="auto"/>
        <w:jc w:val="center"/>
      </w:pPr>
      <w:r>
        <w:rPr>
          <w:b w:val="0"/>
          <w:i/>
          <w:color w:val="666666"/>
          <w:sz w:val="20"/>
        </w:rPr>
        <w:t>Diisi di Word (di luar sistem), lalu diunggah sebagai "Bagian III" di halaman Kompilasi Notula</w:t>
      </w:r>
    </w:p>
    <w:p>
      <w:pPr>
        <w:spacing w:before="80" w:after="200" w:line="276" w:lineRule="auto"/>
        <w:jc w:val="both"/>
      </w:pPr>
      <w:r>
        <w:rPr>
          <w:b w:val="0"/>
          <w:i/>
          <w:color w:val="666666"/>
          <w:sz w:val="18"/>
        </w:rPr>
        <w:t>Cara isi: lengkapi PAGU Awal, PAGU Revisi, dan Realisasi (Rp) per Sasaran Kegiatan lalu jumlahkan pada baris Total. Tulis narasi upaya efisiensi. Isi Pembahasan Lainnya; khusus Triwulan IV tambahkan pembahasan nilai PKO. Simpan sebagai .docx lalu unggah — sistem menggabungkannya setelah Bagian II. Tanda tangan Kepala &amp; Notulis ditambahkan otomatis oleh sistem di akhir; jangan diketik di sini.</w:t>
      </w:r>
    </w:p>
    <w:p>
      <w:pPr>
        <w:pBdr>
          <w:bottom w:val="single" w:sz="6" w:space="1" w:color="1D4E89"/>
        </w:pBdr>
      </w:pPr>
    </w:p>
    <w:p>
      <w:pPr>
        <w:spacing w:before="160" w:after="80" w:line="276" w:lineRule="auto"/>
      </w:pPr>
      <w:r>
        <w:rPr>
          <w:b/>
          <w:i w:val="0"/>
          <w:color w:val="1D4E89"/>
          <w:sz w:val="23"/>
        </w:rPr>
        <w:t>A. Realisasi Anggaran sampai dengan Triwulan Berjalan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3628"/>
            <w:shd w:val="clear" w:color="auto" w:fill="DDE6F0"/>
          </w:tcPr>
          <w:p>
            <w:pPr>
              <w:spacing w:before="20" w:after="20"/>
              <w:jc w:val="center"/>
            </w:pPr>
            <w:r/>
            <w:r>
              <w:rPr>
                <w:b/>
                <w:i w:val="0"/>
                <w:sz w:val="17"/>
              </w:rPr>
              <w:t>Sasaran Kegiatan</w:t>
            </w:r>
          </w:p>
        </w:tc>
        <w:tc>
          <w:tcPr>
            <w:tcW w:type="dxa" w:w="1644"/>
            <w:shd w:val="clear" w:color="auto" w:fill="DDE6F0"/>
          </w:tcPr>
          <w:p>
            <w:pPr>
              <w:spacing w:before="20" w:after="20"/>
              <w:jc w:val="center"/>
            </w:pPr>
            <w:r/>
            <w:r>
              <w:rPr>
                <w:b/>
                <w:i w:val="0"/>
                <w:sz w:val="17"/>
              </w:rPr>
              <w:t>PAGU Awal (Rp)</w:t>
            </w:r>
          </w:p>
        </w:tc>
        <w:tc>
          <w:tcPr>
            <w:tcW w:type="dxa" w:w="1871"/>
            <w:shd w:val="clear" w:color="auto" w:fill="DDE6F0"/>
          </w:tcPr>
          <w:p>
            <w:pPr>
              <w:spacing w:before="20" w:after="20"/>
              <w:jc w:val="center"/>
            </w:pPr>
            <w:r/>
            <w:r>
              <w:rPr>
                <w:b/>
                <w:i w:val="0"/>
                <w:sz w:val="17"/>
              </w:rPr>
              <w:t>PAGU Revisi s.d. TW berjalan (Rp)</w:t>
            </w:r>
          </w:p>
        </w:tc>
        <w:tc>
          <w:tcPr>
            <w:tcW w:type="dxa" w:w="1757"/>
            <w:shd w:val="clear" w:color="auto" w:fill="DDE6F0"/>
          </w:tcPr>
          <w:p>
            <w:pPr>
              <w:spacing w:before="20" w:after="20"/>
              <w:jc w:val="center"/>
            </w:pPr>
            <w:r/>
            <w:r>
              <w:rPr>
                <w:b/>
                <w:i w:val="0"/>
                <w:sz w:val="17"/>
              </w:rPr>
              <w:t>Realisasi s.d. TW berjalan (Rp)</w:t>
            </w:r>
          </w:p>
        </w:tc>
        <w:tc>
          <w:tcPr>
            <w:tcW w:type="dxa" w:w="1020"/>
            <w:shd w:val="clear" w:color="auto" w:fill="DDE6F0"/>
          </w:tcPr>
          <w:p>
            <w:pPr>
              <w:spacing w:before="20" w:after="20"/>
              <w:jc w:val="center"/>
            </w:pPr>
            <w:r/>
            <w:r>
              <w:rPr>
                <w:b/>
                <w:i w:val="0"/>
                <w:sz w:val="17"/>
              </w:rPr>
              <w:t>% Realisasi</w:t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7"/>
              </w:rPr>
              <w:t>1. Terwujudnya Penyediaan Data Dan Insight Statistik Kependudukan Dan Ketenagakerjaan Yang Berkualitas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757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020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7"/>
              </w:rPr>
              <w:t>2. Terwujudnya Penyediaan Data Dan Insight Statistik Kesejahteraan Rakyat Yang Berkualitas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757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020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7"/>
              </w:rPr>
              <w:t>3. Terwujudnya Penyediaan Data Dan Insight Statistik Ketahanan Sosial Yang Berkualitas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757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020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7"/>
              </w:rPr>
              <w:t>4. Terwujudnya Penyediaan Data Dan Insight Statistik Sumber Daya Hayati Yang Berkualitas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757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020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7"/>
              </w:rPr>
              <w:t>5. Terwujudnya Penyediaan Data Dan Insight Statistik Sumber Daya Mineral dan Konstruksi Yang Berkualitas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757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020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7"/>
              </w:rPr>
              <w:t>6. Terwujudnya Penyediaan Data Dan Insight Statistik Industri Yang Berkualitas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757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020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7"/>
              </w:rPr>
              <w:t>7. Terwujudnya Penyediaan Data Dan Insight Statistik Distribusi Yang Berkualitas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757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020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7"/>
              </w:rPr>
              <w:t>8. Terwujudnya Penyediaan Data Dan Insight Statistik Harga Yang Berkualitas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757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020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7"/>
              </w:rPr>
              <w:t>9. Terwujudnya Penyediaan Data Dan Insight Statistik Jasa Yang Berkualitas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757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020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7"/>
              </w:rPr>
              <w:t>10. Terwujudnya Penyediaan Data Dan Insight Statistik Lintas Sektor Yang Berkualitas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757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020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7"/>
              </w:rPr>
              <w:t>11. Tersedianya Data 5 Sasaran Visi Indonesia Emas dan 45 Indikator Utama Pembangunan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757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020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7"/>
              </w:rPr>
              <w:t>12. Terwujudnya Kapasitas Tata Kelola Pemerintah Desa Untuk Menghasilkan Statistik Berkualitas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757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020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7"/>
              </w:rPr>
              <w:t>13. Terwujudnya Penguatan Penyelenggaraan Pembinaan Statistik Sektoral K/L/Pemerintah Daerah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757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020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7"/>
              </w:rPr>
              <w:t>14. Terwujudnya Layanan Edukasi Dan Promosi Statistik Yang Prima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757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020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7"/>
              </w:rPr>
              <w:t>15. Terwujudnya Kemudahan Akses Data BPS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757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020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7"/>
              </w:rPr>
              <w:t>16. Terwujudnya Dukungan Manajemen Pada BPS Provinsi Dan BPS Kabupaten/Kota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757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020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3628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7"/>
              </w:rPr>
              <w:t>17. Peningkatan Pembangunan Zona Integritas</w:t>
            </w:r>
          </w:p>
        </w:tc>
        <w:tc>
          <w:tcPr>
            <w:tcW w:type="dxa" w:w="1644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871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757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1020"/>
          </w:tcPr>
          <w:p>
            <w:pPr>
              <w:spacing w:before="20" w:after="20"/>
            </w:pPr>
            <w:r/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3628"/>
            <w:shd w:val="clear" w:color="auto" w:fill="F0F0F0"/>
          </w:tcPr>
          <w:p>
            <w:pPr>
              <w:spacing w:before="20" w:after="20"/>
              <w:jc w:val="right"/>
            </w:pPr>
            <w:r/>
            <w:r>
              <w:rPr>
                <w:b/>
                <w:i w:val="0"/>
                <w:sz w:val="19"/>
              </w:rPr>
              <w:t>TOTAL</w:t>
            </w:r>
          </w:p>
        </w:tc>
        <w:tc>
          <w:tcPr>
            <w:tcW w:type="dxa" w:w="1644"/>
            <w:shd w:val="clear" w:color="auto" w:fill="F0F0F0"/>
          </w:tcPr>
          <w:p>
            <w:pPr>
              <w:spacing w:before="20" w:after="20"/>
            </w:pPr>
            <w:r/>
            <w:r>
              <w:rPr>
                <w:b/>
                <w:i w:val="0"/>
                <w:sz w:val="19"/>
              </w:rPr>
            </w:r>
          </w:p>
        </w:tc>
        <w:tc>
          <w:tcPr>
            <w:tcW w:type="dxa" w:w="1871"/>
            <w:shd w:val="clear" w:color="auto" w:fill="F0F0F0"/>
          </w:tcPr>
          <w:p>
            <w:pPr>
              <w:spacing w:before="20" w:after="20"/>
            </w:pPr>
            <w:r/>
            <w:r>
              <w:rPr>
                <w:b/>
                <w:i w:val="0"/>
                <w:sz w:val="19"/>
              </w:rPr>
            </w:r>
          </w:p>
        </w:tc>
        <w:tc>
          <w:tcPr>
            <w:tcW w:type="dxa" w:w="1757"/>
            <w:shd w:val="clear" w:color="auto" w:fill="F0F0F0"/>
          </w:tcPr>
          <w:p>
            <w:pPr>
              <w:spacing w:before="20" w:after="20"/>
            </w:pPr>
            <w:r/>
            <w:r>
              <w:rPr>
                <w:b/>
                <w:i w:val="0"/>
                <w:sz w:val="19"/>
              </w:rPr>
            </w:r>
          </w:p>
        </w:tc>
        <w:tc>
          <w:tcPr>
            <w:tcW w:type="dxa" w:w="1020"/>
            <w:shd w:val="clear" w:color="auto" w:fill="F0F0F0"/>
          </w:tcPr>
          <w:p>
            <w:pPr>
              <w:spacing w:before="20" w:after="20"/>
            </w:pPr>
            <w:r/>
            <w:r>
              <w:rPr>
                <w:b/>
                <w:i w:val="0"/>
                <w:sz w:val="19"/>
              </w:rPr>
            </w:r>
          </w:p>
        </w:tc>
      </w:tr>
    </w:tbl>
    <w:p>
      <w:pPr>
        <w:spacing w:before="40" w:after="160" w:line="276" w:lineRule="auto"/>
      </w:pPr>
      <w:r>
        <w:rPr>
          <w:b w:val="0"/>
          <w:i/>
          <w:color w:val="666666"/>
          <w:sz w:val="17"/>
        </w:rPr>
        <w:t>Catatan: PAGU Revisi diisi sama dengan PAGU Awal bila tidak ada revisi. Kolom % Realisasi = Realisasi ÷ PAGU × 100.</w:t>
      </w:r>
    </w:p>
    <w:p>
      <w:pPr>
        <w:spacing w:before="120" w:after="80" w:line="276" w:lineRule="auto"/>
      </w:pPr>
      <w:r>
        <w:rPr>
          <w:b/>
          <w:i w:val="0"/>
          <w:color w:val="1D4E89"/>
          <w:sz w:val="23"/>
        </w:rPr>
        <w:t>B. Upaya Efisiensi</w:t>
      </w:r>
    </w:p>
    <w:p>
      <w:pPr>
        <w:spacing w:before="80" w:after="200" w:line="276" w:lineRule="auto"/>
        <w:jc w:val="both"/>
      </w:pPr>
      <w:r>
        <w:rPr>
          <w:b w:val="0"/>
          <w:i/>
          <w:color w:val="B00000"/>
          <w:sz w:val="20"/>
        </w:rPr>
        <w:t>Jelaskan upaya efisiensi yang telah dilakukan (isi di sini) ...</w:t>
      </w:r>
    </w:p>
    <w:p>
      <w:pPr>
        <w:spacing w:before="120" w:after="80" w:line="276" w:lineRule="auto"/>
      </w:pPr>
      <w:r>
        <w:rPr>
          <w:b/>
          <w:i w:val="0"/>
          <w:color w:val="1D4E89"/>
          <w:sz w:val="23"/>
        </w:rPr>
        <w:t>C. Pembahasan Lainnya</w:t>
      </w:r>
    </w:p>
    <w:p>
      <w:pPr>
        <w:spacing w:before="80" w:after="120" w:line="276" w:lineRule="auto"/>
        <w:jc w:val="both"/>
      </w:pPr>
      <w:r>
        <w:rPr>
          <w:b w:val="0"/>
          <w:i/>
          <w:color w:val="B00000"/>
          <w:sz w:val="20"/>
        </w:rPr>
        <w:t>Isi pembahasan lain yang relevan (isi di sini). Khusus Triwulan IV, tambahkan pembahasan nilai PKO.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