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color w:val="1F3864"/>
          <w:sz w:val="64"/>
          <w:szCs w:val="64"/>
        </w:rPr>
        <w:t xml:space="preserve">GuardrailIQ</w:t>
      </w:r>
    </w:p>
    <w:p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 xml:space="preserve">Deterministic GRC Compliance Copilot</w:t>
      </w:r>
    </w:p>
    <w:p>
      <w:pPr>
        <w:spacing w:after="40"/>
        <w:jc w:val="center"/>
      </w:pPr>
      <w:r>
        <w:rPr>
          <w:color w:val="404040"/>
          <w:sz w:val="26"/>
          <w:szCs w:val="26"/>
        </w:rPr>
        <w:t xml:space="preserve">Architecture &amp; Build Guide</w:t>
      </w:r>
    </w:p>
    <w:p>
      <w:pPr>
        <w:spacing w:after="500"/>
        <w:jc w:val="center"/>
      </w:pPr>
      <w:r>
        <w:rPr>
          <w:i/>
          <w:iCs/>
          <w:color w:val="808080"/>
          <w:sz w:val="20"/>
          <w:szCs w:val="20"/>
        </w:rPr>
        <w:t xml:space="preserve">Single-file Streamlit application  •  No external LLM  •  Fully explainable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guardrailiq_app.py (single-file Streamlit app)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Governance Excel workbook — Governance_Documents · Clauses · Design_Descriptions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Cited Compliant / Non-compliant / Gap findings, dashboard, remediation plan, audit export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Approach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rules + TF-IDF/cosine + NetworkX. Zero LLM calls, offline, reproducible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/ 12 seeded design descriptions classified correctly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Executive Overview</w:t>
      </w:r>
    </w:p>
    <w:p>
      <w:pPr>
        <w:spacing w:after="120"/>
      </w:pPr>
      <w:r>
        <w:t xml:space="preserve">GuardrailIQ turns scattered governance documents into a structured, de-duplicated and fully traceable guardrail model, then evaluates an uploaded design description against that model. Every verdict it produces — Compliant, Non-compliant or Gap — cites the exact guardrail and source clause it is based on, satisfying the challenge's single non-negotiable rule: no finding without its source.</w:t>
      </w:r>
    </w:p>
    <w:p>
      <w:pPr>
        <w:spacing w:after="120"/>
      </w:pPr>
      <w:r>
        <w:rPr>
          <w:b/>
          <w:bCs/>
        </w:rPr>
        <w:t xml:space="preserve">Why deterministic and LLM-free? </w:t>
      </w:r>
      <w:r>
        <w:t xml:space="preserve">In a compliance setting a reviewer must be able to click straight through to the clause behind every verdict. A rules-plus-classical-NLP engine is transparent, reproducible and offline — the same input always yields the same, explainable output, with no hallucination risk and no data leaving the machine.</w:t>
      </w:r>
    </w:p>
    <w:p>
      <w:pPr>
        <w:pStyle w:val="Heading2"/>
      </w:pPr>
      <w:r>
        <w:t xml:space="preserve">1.1  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Ingests</w:t>
      </w:r>
      <w:r>
        <w:t xml:space="preserve"> a governance Excel with flexible schema / alias mapping (survives renamed sheets and columns).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Synthesises guardrails</w:t>
      </w:r>
      <w:r>
        <w:t xml:space="preserve"> from clauses, tagging each with severity, modality and a control concept.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De-duplicates</w:t>
      </w:r>
      <w:r>
        <w:t xml:space="preserve"> overlapping policy language using TF-IDF + cosine similarity + a NetworkX graph, preserving ALL source clause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Detects conflicts</w:t>
      </w:r>
      <w:r>
        <w:t xml:space="preserve"> — cross-document numeric-threshold disagreements (e.g. 12 months vs 90 days) are surfaced, never auto-resolved.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Evaluates designs</w:t>
      </w:r>
      <w:r>
        <w:t xml:space="preserve"> from DOCX / PDF / PPTX / TXT via negation-aware keyword-evidence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Explains &amp; exports</w:t>
      </w:r>
      <w:r>
        <w:t xml:space="preserve"> — dashboard, remediation planner and a multi-sheet audit workbook, plus a built-in architecture / demo tab.</w:t>
      </w:r>
    </w:p>
    <w:p>
      <w:pPr>
        <w:pStyle w:val="Heading1"/>
      </w:pPr>
      <w:r>
        <w:t xml:space="preserve">2.  Solution Architecture</w:t>
      </w:r>
    </w:p>
    <w:p>
      <w:pPr>
        <w:spacing w:after="120"/>
      </w:pPr>
      <w:r>
        <w:t xml:space="preserve">The application is a linear, inspectable pipeline. Each stage consumes the previous stage's typed output and can be tested in isolation. The Streamlit UI is a thin presentation layer over pure, side-effect-free functions.</w:t>
      </w:r>
    </w:p>
    <w:p>
      <w:pPr>
        <w:pStyle w:val="Heading2"/>
      </w:pPr>
      <w:r>
        <w:t xml:space="preserve">2.1  Architecture diagram</w:t>
      </w:r>
    </w:p>
    <w:p>
      <w:pPr>
        <w:spacing w:after="120"/>
        <w:jc w:val="center"/>
      </w:pPr>
      <w:r>
        <w:drawing>
          <wp:inline distT="0" distB="0" distL="0" distR="0">
            <wp:extent cx="2857500" cy="4286250"/>
            <wp:effectExtent t="0" r="0" b="0" l="0"/>
            <wp:docPr id="1" name="architecture" descr="Six-stage pipeline from governance Excel to dashboard, remediation and audit export" title="GuardrailIQ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 Stage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Ingest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load_workbook, build_clauses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 sheets/columns by alias; produce typed Clause records.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Synthesis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synthesize_guardrails, infer_severity, map_concept, extract_numeric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guardrail per clause; attach severity, modality, concept, numeric thresholds.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De-dup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deduplicate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similarity graph; merge connected components; keep every source reference.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Conflicts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detect_conflicts, subject_signature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Group thresholds by subject; flag cross-document disagreements.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Evaluate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extract_text, evaluate_design, design_verdict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Parse design; match evidence; emit cited findings + rollup verdict.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Present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/ remediation / build_audit_export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Visualise, plan remediation, export 7-sheet audit workbook.</w:t>
            </w:r>
          </w:p>
        </w:tc>
      </w:tr>
    </w:tbl>
    <w:p>
      <w:pPr>
        <w:pStyle w:val="Heading1"/>
      </w:pPr>
      <w:r>
        <w:t xml:space="preserve">3.  Core Data Model</w:t>
      </w:r>
    </w:p>
    <w:p>
      <w:pPr>
        <w:spacing w:after="120"/>
      </w:pPr>
      <w:r>
        <w:t xml:space="preserve">Five lightweight dataclasses keep the pipeline strongly typed and the citations intact end-to-end.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Dataclass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&amp; key fields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Clause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addressable requirement: clause_id, doc_id, heading, text, flag.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 control: severity, modality, concept, source_clause_ids, source_doc_ids, merged_from, numeric.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Cross-document numeric disagreement: subject, unit, values[], note.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Finding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Evaluation result: status, rationale, evidence, source_clause_ids, source_doc_ids.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(alias maps)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SHEET_ALIASES / COLUMN_ALIASES drive the flexible, modified-copy-safe ingest.</w:t>
            </w:r>
          </w:p>
        </w:tc>
      </w:tr>
    </w:tbl>
    <w:p>
      <w:pPr>
        <w:pStyle w:val="Heading1"/>
      </w:pPr>
      <w:r>
        <w:t xml:space="preserve">4.  Key Algorithms (Explainable by Design)</w:t>
      </w:r>
    </w:p>
    <w:p>
      <w:pPr>
        <w:pStyle w:val="Heading2"/>
      </w:pPr>
      <w:r>
        <w:t xml:space="preserve">4.1  Severity &amp; concept tagging</w:t>
      </w:r>
    </w:p>
    <w:p>
      <w:pPr>
        <w:spacing w:after="120"/>
      </w:pPr>
      <w:r>
        <w:t xml:space="preserve">Severity is inferred from a ranked keyword ruleset (Critical &gt; High &gt; Medium &gt; Low); modality (Mandatory / Recommended) from modal verbs (“must”, “should”). Each clause is mapped to a control concept (e.g. mfa, encryption_rest, public_storage) by counting topic-keyword hits. Concepts are the semantic backbone used by both de-duplication and evaluation, so detection is by meaning, not by memorised IDs.</w:t>
      </w:r>
    </w:p>
    <w:p>
      <w:pPr>
        <w:pStyle w:val="Heading2"/>
      </w:pPr>
      <w:r>
        <w:t xml:space="preserve">4.2  De-duplication (TF-IDF + cosine + NetworkX)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Vectorise every guardrail's title + requirement with a 1–2 gram TF-IDF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 the pairwise cosine similarity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Draw an edge</w:t>
      </w:r>
      <w:r>
        <w:t xml:space="preserve"> when two guardrails share the same single-control concept (cosine recorded as evidence) OR their text is near-identical (cosine ≥ 0.85).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NetworkX connected components; collapse each into ONE guardrail, unioning all source clause and document IDs and recording provenance in merged_from.</w:t>
      </w:r>
    </w:p>
    <w:p>
      <w:pPr>
        <w:spacing w:after="120"/>
      </w:pPr>
      <w:r>
        <w:rPr>
          <w:b/>
          <w:bCs/>
        </w:rPr>
        <w:t xml:space="preserve">Guardrails against over-merging: </w:t>
      </w:r>
      <w:r>
        <w:t xml:space="preserve">coarse concepts (e.g. secure_sdlc, logging) and numeric-threshold concepts (password_length, data_retention) are excluded from concept-merge, and a numeric-conflict check blocks merging two clauses that state different values — so genuine conflicts are never hidden by de-duplication.</w:t>
      </w:r>
    </w:p>
    <w:p>
      <w:pPr>
        <w:pStyle w:val="Heading2"/>
      </w:pPr>
      <w:r>
        <w:t xml:space="preserve">4.3  Conflict detection (no auto-resolve)</w:t>
      </w:r>
    </w:p>
    <w:p>
      <w:pPr>
        <w:spacing w:after="120"/>
      </w:pPr>
      <w:r>
        <w:t xml:space="preserve">Each clause is assigned a subject signature by meaning (e.g. password_min_length, log_retention). Numbers and units are extracted and normalised to a comparable base (months → days). When two different documents state different values for the same subject, a Conflict is raised and surfaced for a human decision — the system deliberately does not pick a winner.</w:t>
      </w:r>
    </w:p>
    <w:p>
      <w:pPr>
        <w:pStyle w:val="Heading2"/>
      </w:pPr>
      <w:r>
        <w:t xml:space="preserve">4.4  Design evaluation (negation-aware evidence matching)</w:t>
      </w:r>
    </w:p>
    <w:p>
      <w:pPr>
        <w:spacing w:after="120"/>
      </w:pPr>
      <w:r>
        <w:t xml:space="preserve">For each guardrail whose control concept is present in the design text: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Non-compliant</w:t>
      </w:r>
      <w:r>
        <w:t xml:space="preserve"> — a violation phrase is found (not itself negated).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Compliant</w:t>
      </w:r>
      <w:r>
        <w:t xml:space="preserve"> — a satisfaction phrase is found and is NOT inside a negation / uncertainty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Gap</w:t>
      </w:r>
      <w:r>
        <w:t xml:space="preserve"> — the topic is raised but evidence is absent AND an explicit “missing-info” cue is present (e.g. “does not specify”).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Not-Applicable</w:t>
      </w:r>
      <w:r>
        <w:t xml:space="preserve"> — topic not addressed; hidden from the verdict to avoid noise.</w:t>
      </w:r>
    </w:p>
    <w:p>
      <w:pPr>
        <w:spacing w:after="120"/>
      </w:pPr>
      <w:r>
        <w:rPr>
          <w:b/>
          <w:bCs/>
        </w:rPr>
        <w:t xml:space="preserve">Negation window: </w:t>
      </w:r>
      <w:r>
        <w:t xml:space="preserve">before accepting any evidence phrase, the ~45 characters preceding it are scanned for negators/uncertainty cues (“not”, “no”, “whether”, “does not”…). This prevents a phrase like “does not state whether a security assessment was completed” from being mis-read as compliant.</w:t>
      </w:r>
    </w:p>
    <w:p>
      <w:pPr>
        <w:spacing w:after="120"/>
      </w:pPr>
      <w:r>
        <w:rPr>
          <w:b/>
          <w:bCs/>
        </w:rPr>
        <w:t xml:space="preserve">Design-level verdict: </w:t>
      </w:r>
      <w:r>
        <w:t xml:space="preserve">Non-compliant overrides Gap, which overrides Compliant — a single failing mandatory control fails the design.</w:t>
      </w:r>
    </w:p>
    <w:p>
      <w:pPr>
        <w:pStyle w:val="Heading1"/>
      </w:pPr>
      <w:r>
        <w:t xml:space="preserve">5.  Setup &amp; Run Steps</w:t>
      </w:r>
    </w:p>
    <w:p>
      <w:pPr>
        <w:pStyle w:val="Heading2"/>
      </w:pPr>
      <w:r>
        <w:t xml:space="preserve">5.1  Prerequisites</w:t>
      </w:r>
    </w:p>
    <w:p>
      <w:pPr>
        <w:spacing w:after="120"/>
      </w:pPr>
      <w:r>
        <w:t xml:space="preserve">Python 3.10+ and the packages listed in requirements.txt (all standard, offline).</w:t>
      </w:r>
    </w:p>
    <w:p>
      <w:pPr>
        <w:pStyle w:val="Heading2"/>
      </w:pPr>
      <w:r>
        <w:t xml:space="preserve">5.2  Windows (batch files)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setup.bat   :: one-time: create .venv and install dependencies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run.bat     :: launch the app at http://localhost:8501</w:t>
      </w:r>
    </w:p>
    <w:p>
      <w:pPr>
        <w:pStyle w:val="Heading2"/>
      </w:pPr>
      <w:r>
        <w:t xml:space="preserve">5.3  macOS / Linux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 .venv/bin/activate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streamlit run app/guardrailiq_app.py</w:t>
      </w:r>
    </w:p>
    <w:p>
      <w:pPr>
        <w:pStyle w:val="Heading2"/>
      </w:pPr>
      <w:r>
        <w:t xml:space="preserve">5.4  First-run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sidebar, upload the governance Excel workbook (data/GuardrailIQ_Dataset_v2.xlsx).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adjust the de-dup similarity threshold slider.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Click “Build guardrail model”</w:t>
      </w:r>
      <w:r>
        <w:t xml:space="preserve"> — the pipeline runs and the Dashboard populates.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“Evaluate Design”, upload a file from sample_designs/ (or paste text) and click Evaluate.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cited findings, open the Remediation tab, then download the Audit Export.</w:t>
      </w:r>
    </w:p>
    <w:p>
      <w:pPr>
        <w:pStyle w:val="Heading1"/>
      </w:pPr>
      <w:r>
        <w:t xml:space="preserve">6.  Application Walkthrough (UI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Clause/guardrail counts, merges, conflicts, orphans; severity &amp; domain charts; broken-reference table.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 Model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consolidated, filterable guardrail table plus de-duplication evidence (sources preserved).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Conflicts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cross-document numeric conflict with both values and clause citations — surfaced, not resolved.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Evaluate Design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Upload/paste a design; view Compliant / Non-compliant / Gap findings, each citing guardrail + clause.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Prioritised (P1–P3) remediation actions for every Non-compliant and Gap finding.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Export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One-click 7-sheet .xlsx: Summary, Guardrail_Model, Findings, Conflicts, Deduplication, Orphan_References, Remediation_Plan.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&amp; Demo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In-app architecture diagram and a suggested five-step demo script.</w:t>
            </w:r>
          </w:p>
        </w:tc>
      </w:tr>
    </w:tbl>
    <w:p>
      <w:pPr>
        <w:pStyle w:val="Heading1"/>
      </w:pPr>
      <w:r>
        <w:t xml:space="preserve">7.  Design Decisions &amp;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Deterministic &amp; explainable </w:t>
      </w:r>
      <w:r>
        <w:t xml:space="preserve">— no LLM; identical input yields identical, traceable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Traceability gate </w:t>
      </w:r>
      <w:r>
        <w:t xml:space="preserve">— a finding is only ever shown with its guardrail and source clause IDs attached.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Modified-copy safe </w:t>
      </w:r>
      <w:r>
        <w:t xml:space="preserve">— alias mapping, concept lexicon and numeric parsing detect by meaning; nothing is keyed to sample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Human-in-the-loop </w:t>
      </w:r>
      <w:r>
        <w:t xml:space="preserve">— the tool recommends, never auto-gates; conflicts and gaps are surfaced for a person to decide.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fabricated verdicts </w:t>
      </w:r>
      <w:r>
        <w:t xml:space="preserve">— missing information returns a Gap, never an inferred pass/fail.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Sources preserved on merge </w:t>
      </w:r>
      <w:r>
        <w:t xml:space="preserve">— de-duplication unions references so nothing becomes untraceable.</w:t>
      </w:r>
    </w:p>
    <w:p>
      <w:pPr>
        <w:pStyle w:val="Heading1"/>
      </w:pPr>
      <w:r>
        <w:t xml:space="preserve">8.  Mapping to Challenge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Mandatory outcome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is met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traceable guardrails from governance 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2 — synthesize_guardrails keeps source_clause_ids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De-duplicate, preserving all source references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3 — deduplicate (union of refs, merged_from)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 a queryable model (domain, requirement, severity, source)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Guardrail dataclass + filterable Guardrail Model tab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Evaluate a text design end-to-end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5 — extract_text + evaluate_design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Cite every finding (guardrail + clause)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Finding carries both ID sets; shown in UI &amp; export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Explain for non-experts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Plain-language rationale + evidence per finding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 deep on one domain (Information Security)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 lexicon focused on InfoSec controls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Clear-fail returns Non-compliant + citation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e.g. DSN-0004 → Non-compliant, cites CL-0052/CL-0021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info returns Gap, not a fabrication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Uncertainty detection → DSN-0007, DSN-0012 = Gap</w:t>
            </w:r>
          </w:p>
        </w:tc>
      </w:tr>
    </w:tbl>
    <w:p>
      <w:pPr>
        <w:pStyle w:val="Heading1"/>
      </w:pPr>
      <w:r>
        <w:t xml:space="preserve">9.  Validation Results</w:t>
      </w:r>
    </w:p>
    <w:p>
      <w:pPr>
        <w:spacing w:after="120"/>
      </w:pPr>
      <w:r>
        <w:t xml:space="preserve">Run against the supplied synthetic workbook, the engine reproduces every seeded scenario and classifies all twelve design descriptions in line with their Expected_Outcome.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 verdict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DSN-0009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DSN-0011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DSN-0012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Gap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  <w:r>
        <w:rPr>
          <w:b/>
          <w:bCs/>
        </w:rPr>
        <w:t xml:space="preserve">Seeded scenarios also reproduced: </w:t>
      </w:r>
      <w:r>
        <w:t xml:space="preserve">MFA / least-privilege / secrets / backup / classification / supplier duplicates consolidated; password (12 vs 8 chars) and security-log-retention (12 months vs 90 days) conflicts surfaced; the orphan reference (CL-9999 / DOC-0099) flagged as untraceable.</w:t>
      </w:r>
    </w:p>
    <w:p>
      <w:pPr>
        <w:pStyle w:val="Heading1"/>
      </w:pPr>
      <w:r>
        <w:t xml:space="preserve">10.  Assumptions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synthetic / provided data is used; no real policy content is ingested.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control-concept lexicon targets Information Security; new domains are added by extending CONCEPTS (data, not code changes to the engine).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depends on the design text describing controls in natural language; scanned image-only PDFs would need OCR (out of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Numeric-conflict detection covers the common unit families (characters, days, months, hours); additional units extend NUM_PATTERNS.</w:t>
      </w:r>
    </w:p>
    <w:p>
      <w:pPr>
        <w:spacing w:before="240"/>
      </w:pPr>
      <w:r>
        <w:rPr>
          <w:i/>
          <w:iCs/>
          <w:color w:val="1F3864"/>
        </w:rPr>
        <w:t xml:space="preserve">Definite on the problem, broad on the solution — and never a finding without its source.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GuardrailIQ — Architecture &amp;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4d5224dae36b922964d9bd896b9215851c8e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2026-09-13T16:39:07.084Z</dcterms:created>
  <dcterms:modified xsi:type="dcterms:W3CDTF">2026-09-13T16:39:07.091Z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