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黑体" w:hAnsi="黑体" w:eastAsia="黑体"/>
          <w:b/>
          <w:sz w:val="26"/>
        </w:rPr>
        <w:t>大连标普检测有限公司</w:t>
      </w:r>
    </w:p>
    <w:p>
      <w:pPr>
        <w:spacing w:before="0" w:after="80"/>
        <w:jc w:val="center"/>
      </w:pPr>
      <w:r>
        <w:rPr>
          <w:rFonts w:ascii="黑体" w:hAnsi="黑体" w:eastAsia="黑体"/>
          <w:b/>
          <w:sz w:val="32"/>
        </w:rPr>
        <w:t>十个现有实验评价标准汇总（按原始记录编号）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26"/>
        <w:gridCol w:w="3926"/>
        <w:gridCol w:w="3926"/>
        <w:gridCol w:w="3926"/>
      </w:tblGrid>
      <w:tr>
        <w:tc>
          <w:tcPr>
            <w:tcW w:type="dxa" w:w="1701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D9EA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文件名称</w:t>
            </w:r>
          </w:p>
        </w:tc>
        <w:tc>
          <w:tcPr>
            <w:tcW w:type="dxa" w:w="6009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十个现有实验评价标准汇总</w:t>
            </w:r>
          </w:p>
        </w:tc>
        <w:tc>
          <w:tcPr>
            <w:tcW w:type="dxa" w:w="1701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D9EA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适用范围</w:t>
            </w:r>
          </w:p>
        </w:tc>
        <w:tc>
          <w:tcPr>
            <w:tcW w:type="dxa" w:w="6009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现有10项实验的结果评价、复核及报告表达</w:t>
            </w:r>
          </w:p>
        </w:tc>
      </w:tr>
      <w:tr>
        <w:tc>
          <w:tcPr>
            <w:tcW w:type="dxa" w:w="1701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D9EA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编制依据</w:t>
            </w:r>
          </w:p>
        </w:tc>
        <w:tc>
          <w:tcPr>
            <w:tcW w:type="dxa" w:w="6009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现行产品技术要求、受控SOP及原始记录模板</w:t>
            </w:r>
          </w:p>
        </w:tc>
        <w:tc>
          <w:tcPr>
            <w:tcW w:type="dxa" w:w="1701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D9EA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版本/日期</w:t>
            </w:r>
          </w:p>
        </w:tc>
        <w:tc>
          <w:tcPr>
            <w:tcW w:type="dxa" w:w="6009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V1.0 / 2026-07-29</w:t>
            </w:r>
          </w:p>
        </w:tc>
      </w:tr>
    </w:tbl>
    <w:p>
      <w:pPr>
        <w:spacing w:before="80" w:after="60"/>
      </w:pPr>
      <w:r>
        <w:rPr>
          <w:rFonts w:ascii="黑体" w:hAnsi="黑体" w:eastAsia="黑体"/>
          <w:b/>
          <w:sz w:val="18"/>
        </w:rPr>
        <w:t>使用说明：</w:t>
      </w:r>
      <w:r>
        <w:rPr>
          <w:rFonts w:ascii="宋体" w:hAnsi="宋体" w:eastAsia="宋体"/>
          <w:sz w:val="17"/>
        </w:rPr>
        <w:t>本汇总按当前原始记录编号列示。系统已取消实验编码，因此以下编号仅用于对应现行受控记录表。评价时应优先采用已批准的产品技术要求、委托协议、注册检验方案或现行标准；如其要求不一致，应在任务建立时明确唯一判定依据。本表不替代标准、SOP或原始记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268"/>
        <w:gridCol w:w="2438"/>
        <w:gridCol w:w="3969"/>
        <w:gridCol w:w="3402"/>
        <w:gridCol w:w="2608"/>
      </w:tblGrid>
      <w:tr>
        <w:trPr>
          <w:tblHeader w:val="true"/>
        </w:trPr>
        <w:tc>
          <w:tcPr>
            <w:tcW w:type="dxa" w:w="2617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  <w:shd w:fill="5B9BD5"/>
          </w:tcPr>
          <w:p>
            <w:pPr>
              <w:spacing w:before="0" w:after="0" w:line="25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sz w:val="16"/>
                <w:color w:val="FFFFFF"/>
              </w:rPr>
              <w:t>编号</w:t>
            </w:r>
          </w:p>
        </w:tc>
        <w:tc>
          <w:tcPr>
            <w:tcW w:type="dxa" w:w="2617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  <w:shd w:fill="5B9BD5"/>
          </w:tcPr>
          <w:p>
            <w:pPr>
              <w:spacing w:before="0" w:after="0" w:line="25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sz w:val="16"/>
                <w:color w:val="FFFFFF"/>
              </w:rPr>
              <w:t>实验名称</w:t>
            </w:r>
          </w:p>
        </w:tc>
        <w:tc>
          <w:tcPr>
            <w:tcW w:type="dxa" w:w="2617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  <w:shd w:fill="5B9BD5"/>
          </w:tcPr>
          <w:p>
            <w:pPr>
              <w:spacing w:before="0" w:after="0" w:line="25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sz w:val="16"/>
                <w:color w:val="FFFFFF"/>
              </w:rPr>
              <w:t>主要依据</w:t>
            </w:r>
          </w:p>
        </w:tc>
        <w:tc>
          <w:tcPr>
            <w:tcW w:type="dxa" w:w="2617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  <w:shd w:fill="5B9BD5"/>
          </w:tcPr>
          <w:p>
            <w:pPr>
              <w:spacing w:before="0" w:after="0" w:line="25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sz w:val="16"/>
                <w:color w:val="FFFFFF"/>
              </w:rPr>
              <w:t>核心评价标准/限值</w:t>
            </w:r>
          </w:p>
        </w:tc>
        <w:tc>
          <w:tcPr>
            <w:tcW w:type="dxa" w:w="2617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  <w:shd w:fill="5B9BD5"/>
          </w:tcPr>
          <w:p>
            <w:pPr>
              <w:spacing w:before="0" w:after="0" w:line="25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sz w:val="16"/>
                <w:color w:val="FFFFFF"/>
              </w:rPr>
              <w:t>判定原则</w:t>
            </w:r>
          </w:p>
        </w:tc>
        <w:tc>
          <w:tcPr>
            <w:tcW w:type="dxa" w:w="2617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  <w:shd w:fill="5B9BD5"/>
          </w:tcPr>
          <w:p>
            <w:pPr>
              <w:spacing w:before="0" w:after="0" w:line="25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sz w:val="16"/>
                <w:color w:val="FFFFFF"/>
              </w:rPr>
              <w:t>关键有效性条件及备注</w:t>
            </w:r>
          </w:p>
        </w:tc>
      </w:tr>
      <w:tr>
        <w:tc>
          <w:tcPr>
            <w:tcW w:type="dxa" w:w="794"/>
            <w:shd w:fill="F7FB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R001</w:t>
            </w:r>
          </w:p>
        </w:tc>
        <w:tc>
          <w:tcPr>
            <w:tcW w:type="dxa" w:w="2268"/>
            <w:shd w:fill="F7FB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表面粗糙度试验</w:t>
            </w:r>
          </w:p>
        </w:tc>
        <w:tc>
          <w:tcPr>
            <w:tcW w:type="dxa" w:w="2438"/>
            <w:shd w:fill="F7FB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YY/T 1702—2020 5.2.1、8.2.1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现行产品技术要求2.16.1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受控SOP-R001</w:t>
            </w:r>
          </w:p>
        </w:tc>
        <w:tc>
          <w:tcPr>
            <w:tcW w:type="dxa" w:w="3969"/>
            <w:shd w:fill="F7FB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增材制造金属试样打印后表面粗糙度：每个试样平均Ra≤15 μm。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若评价最终义齿暴露金属表面，则产品技术要求另规定Ra≤0.025 μm，二者适用对象不同，不得混用。</w:t>
            </w:r>
          </w:p>
        </w:tc>
        <w:tc>
          <w:tcPr>
            <w:tcW w:type="dxa" w:w="3402"/>
            <w:shd w:fill="F7FB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每个试样分别以3条平行、互不重叠且有代表性的测量线计算平均Ra。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6个试样均≤15 μm时，该项目判定为符合；不得以6个试样总体平均值替代单件判定。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任一试样超限，判定该试样不符合，并按委托/技术要求形成批次结论。</w:t>
            </w:r>
          </w:p>
        </w:tc>
        <w:tc>
          <w:tcPr>
            <w:tcW w:type="dxa" w:w="2608"/>
            <w:shd w:fill="F7FB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标准块核查合格；测针、夹具、参数及原始曲线有效。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检测面不得打磨、抛光或人为改变原打印表面。</w:t>
            </w:r>
          </w:p>
        </w:tc>
      </w:tr>
      <w:tr>
        <w:tc>
          <w:tcPr>
            <w:tcW w:type="dxa" w:w="794"/>
            <w:shd w:fill="FFFF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R004</w:t>
            </w:r>
          </w:p>
        </w:tc>
        <w:tc>
          <w:tcPr>
            <w:tcW w:type="dxa" w:w="2268"/>
            <w:shd w:fill="FFFF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金属-陶瓷结合裂纹萌生试验</w:t>
            </w:r>
          </w:p>
        </w:tc>
        <w:tc>
          <w:tcPr>
            <w:tcW w:type="dxa" w:w="2438"/>
            <w:shd w:fill="FFFF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YY 0621.1—2016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现行产品技术要求2.15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受控SOP-R004</w:t>
            </w:r>
          </w:p>
        </w:tc>
        <w:tc>
          <w:tcPr>
            <w:tcW w:type="dxa" w:w="3969"/>
            <w:shd w:fill="FFFF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金属-陶瓷体系剥离/萌生裂纹强度应大于25 MPa。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剥离/萌生裂纹强度按τb=k×Ffail计算。</w:t>
            </w:r>
          </w:p>
        </w:tc>
        <w:tc>
          <w:tcPr>
            <w:tcW w:type="dxa" w:w="3402"/>
            <w:shd w:fill="FFFF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按标准和已明确的产品技术要求/委托要求，对各有效试样计算并判定。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出现非典型破坏、陶瓷层中间异常开裂或试验参数异常时，不得直接作为有效符合性结果，应技术评审、复测或重新制样。</w:t>
            </w:r>
          </w:p>
        </w:tc>
        <w:tc>
          <w:tcPr>
            <w:tcW w:type="dxa" w:w="2608"/>
            <w:shd w:fill="FFFF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加载速度应为（1.5±0.5）mm/min。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夹具平行度及两平行块高度差建议≤0.005 mm，最低不得超过0.010 mm；k系数须复核。</w:t>
            </w:r>
          </w:p>
        </w:tc>
      </w:tr>
      <w:tr>
        <w:tc>
          <w:tcPr>
            <w:tcW w:type="dxa" w:w="794"/>
            <w:shd w:fill="F7FB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R005</w:t>
            </w:r>
          </w:p>
        </w:tc>
        <w:tc>
          <w:tcPr>
            <w:tcW w:type="dxa" w:w="2268"/>
            <w:shd w:fill="F7FB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金属内部质量X射线数字成像灰度分析</w:t>
            </w:r>
          </w:p>
        </w:tc>
        <w:tc>
          <w:tcPr>
            <w:tcW w:type="dxa" w:w="2438"/>
            <w:shd w:fill="F7FB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产品技术要求2.10及附录A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GB 17168—2013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YY/T 1702—2020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受控SOP-R005</w:t>
            </w:r>
          </w:p>
        </w:tc>
        <w:tc>
          <w:tcPr>
            <w:tcW w:type="dxa" w:w="3969"/>
            <w:shd w:fill="F7FB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金属激光熔融/切削全冠咬合面厚度≥0.7 mm。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非贵金属烤瓷和烤塑内冠咬合面厚度≥0.3 mm。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图像应有效，孔型像质计显示清晰；金属区域连续、边界清晰、灰度分布均匀，未见明显异常暗影、亮斑、线状/裂纹状影像、局部缺失或影像中断。</w:t>
            </w:r>
          </w:p>
        </w:tc>
        <w:tc>
          <w:tcPr>
            <w:tcW w:type="dxa" w:w="3402"/>
            <w:shd w:fill="F7FB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满足图像有效性和规定厚度/内部质量要求时判定合格。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存在明显厚度不足、异常暗影、裂纹状影像、局部缺失、严重疏松等，判定不合格。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图像过曝、欠曝、模糊、像质计不清或参数不完整时，应复检，不得强行判定。</w:t>
            </w:r>
          </w:p>
        </w:tc>
        <w:tc>
          <w:tcPr>
            <w:tcW w:type="dxa" w:w="2608"/>
            <w:shd w:fill="F7FB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医生有特殊设计要求时，应有书面依据并在记录和报告中注明。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灰度换算超出像质计0.1～1.0 mm比对范围时，仅可描述范围，不得强行给出精确厚度。</w:t>
            </w:r>
          </w:p>
        </w:tc>
      </w:tr>
      <w:tr>
        <w:tc>
          <w:tcPr>
            <w:tcW w:type="dxa" w:w="794"/>
            <w:shd w:fill="FFFF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R006</w:t>
            </w:r>
          </w:p>
        </w:tc>
        <w:tc>
          <w:tcPr>
            <w:tcW w:type="dxa" w:w="2268"/>
            <w:shd w:fill="FFFF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翘曲变形试验</w:t>
            </w:r>
          </w:p>
        </w:tc>
        <w:tc>
          <w:tcPr>
            <w:tcW w:type="dxa" w:w="2438"/>
            <w:shd w:fill="FFFF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YY/T 1702—2020 5.2.3、8.2.3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现行产品技术要求2.16.3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受控SOP-R007</w:t>
            </w:r>
          </w:p>
        </w:tc>
        <w:tc>
          <w:tcPr>
            <w:tcW w:type="dxa" w:w="3969"/>
            <w:shd w:fill="FFFF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打印后试样翘曲变形量应不大于0.5 mm。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按切割前H1、切割后H2计算ΔH=H1-H2，评价时取翘曲变形量的绝对值。</w:t>
            </w:r>
          </w:p>
        </w:tc>
        <w:tc>
          <w:tcPr>
            <w:tcW w:type="dxa" w:w="3402"/>
            <w:shd w:fill="FFFF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|ΔH|≤0.5 mm：单样合格。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|ΔH|&gt;0.5 mm：单样不合格。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各试样逐件判定并汇总；若切割或测量异常影响结果，应重新制样或复测。</w:t>
            </w:r>
          </w:p>
        </w:tc>
        <w:tc>
          <w:tcPr>
            <w:tcW w:type="dxa" w:w="2608"/>
            <w:shd w:fill="FFFF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切口不得有崩边、裂纹或影响测量的损伤。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试样应清洁、编号可追溯，测量基准及方向保持一致。</w:t>
            </w:r>
          </w:p>
        </w:tc>
      </w:tr>
      <w:tr>
        <w:tc>
          <w:tcPr>
            <w:tcW w:type="dxa" w:w="794"/>
            <w:shd w:fill="F7FB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R007</w:t>
            </w:r>
          </w:p>
        </w:tc>
        <w:tc>
          <w:tcPr>
            <w:tcW w:type="dxa" w:w="2268"/>
            <w:shd w:fill="F7FB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热膨胀系数试验</w:t>
            </w:r>
          </w:p>
        </w:tc>
        <w:tc>
          <w:tcPr>
            <w:tcW w:type="dxa" w:w="2438"/>
            <w:shd w:fill="F7FB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YY/T 1702—2020 5.2.9、8.2.9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现行产品技术要求2.16.11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受控SOP-R009</w:t>
            </w:r>
          </w:p>
        </w:tc>
        <w:tc>
          <w:tcPr>
            <w:tcW w:type="dxa" w:w="3969"/>
            <w:shd w:fill="F7FB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仅适用于金属-烤瓷修复体用金属材料。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材料线膨胀系数与包装随附文件所示数值的偏差应不大于0.5×10⁻⁶ K⁻¹。</w:t>
            </w:r>
          </w:p>
        </w:tc>
        <w:tc>
          <w:tcPr>
            <w:tcW w:type="dxa" w:w="3402"/>
            <w:shd w:fill="F7FB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计算试样规定温度区间内的线膨胀系数α，并与包装随附值比较。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|实测α－标示α|≤0.5×10⁻⁶ K⁻¹：合格；超出限值：不合格。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未提供标示值或明确限值时，只报告实测值，不作符合性判定。</w:t>
            </w:r>
          </w:p>
        </w:tc>
        <w:tc>
          <w:tcPr>
            <w:tcW w:type="dxa" w:w="2608"/>
            <w:shd w:fill="F7FB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试样安装正确，PV值稳定在50～60后方可启动。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原始曲线、温度程序和软件计算报告必须保存。</w:t>
            </w:r>
          </w:p>
        </w:tc>
      </w:tr>
      <w:tr>
        <w:tc>
          <w:tcPr>
            <w:tcW w:type="dxa" w:w="794"/>
            <w:shd w:fill="FFFF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R009</w:t>
            </w:r>
          </w:p>
        </w:tc>
        <w:tc>
          <w:tcPr>
            <w:tcW w:type="dxa" w:w="2268"/>
            <w:shd w:fill="FFFF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陶瓷牙耐急冷急热性能试验</w:t>
            </w:r>
          </w:p>
        </w:tc>
        <w:tc>
          <w:tcPr>
            <w:tcW w:type="dxa" w:w="2438"/>
            <w:shd w:fill="FFFF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YY 0300—2009 7.10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现行产品技术要求2.13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受控SOP-R010</w:t>
            </w:r>
          </w:p>
        </w:tc>
        <w:tc>
          <w:tcPr>
            <w:tcW w:type="dxa" w:w="3969"/>
            <w:shd w:fill="FFFF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经规定急冷急热处理后，所有样品均不得出现裂纹。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现行内部SOP采用更严格判定：不得出现裂纹、崩瓷、破裂或结构破坏。</w:t>
            </w:r>
          </w:p>
        </w:tc>
        <w:tc>
          <w:tcPr>
            <w:tcW w:type="dxa" w:w="3402"/>
            <w:shd w:fill="FFFF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所有样品均无裂纹、崩瓷、破裂或结构破坏：合格。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任一样品出现上述任一异常：不合格。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关键温度、时间或观察条件不满足时，本次试验无效，应复检。</w:t>
            </w:r>
          </w:p>
        </w:tc>
        <w:tc>
          <w:tcPr>
            <w:tcW w:type="dxa" w:w="2608"/>
            <w:shd w:fill="FFFF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100±2 ℃加热20±1 min；≤3 s转入1±1 ℃冰水；浸泡≥30 s；再加热15±1 min。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冷却至23±2 ℃后，在≥1000 lx和10×放大镜下检查。</w:t>
            </w:r>
          </w:p>
        </w:tc>
      </w:tr>
      <w:tr>
        <w:tc>
          <w:tcPr>
            <w:tcW w:type="dxa" w:w="794"/>
            <w:shd w:fill="F7FB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R010</w:t>
            </w:r>
          </w:p>
        </w:tc>
        <w:tc>
          <w:tcPr>
            <w:tcW w:type="dxa" w:w="2268"/>
            <w:shd w:fill="F7FB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弯曲性能试验</w:t>
            </w:r>
          </w:p>
        </w:tc>
        <w:tc>
          <w:tcPr>
            <w:tcW w:type="dxa" w:w="2438"/>
            <w:shd w:fill="F7FB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YY/T 1702—2020 5.2.4.3、8.2.4.3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现行产品技术要求2.16.6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受控SOP-R011</w:t>
            </w:r>
          </w:p>
        </w:tc>
        <w:tc>
          <w:tcPr>
            <w:tcW w:type="dxa" w:w="3969"/>
            <w:shd w:fill="F7FB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0.2%规定非比例弯曲应力应不低于800 MPa。</w:t>
            </w:r>
          </w:p>
        </w:tc>
        <w:tc>
          <w:tcPr>
            <w:tcW w:type="dxa" w:w="3402"/>
            <w:shd w:fill="F7FB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每个有效试样计算0.2%规定非比例弯曲应力。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结果≥800 MPa：该试样符合；结果&lt;800 MPa：该试样不符合。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整组是否合格按产品技术要求、委托协议或注册检验方案汇总；不得用总体平均值掩盖单件不符合。</w:t>
            </w:r>
          </w:p>
        </w:tc>
        <w:tc>
          <w:tcPr>
            <w:tcW w:type="dxa" w:w="2608"/>
            <w:shd w:fill="F7FB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试样尺寸、方向、支点距离、加载速度、挠度计和曲线文件应完整可追溯。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试样滑移、曲线异常、夹具平行性不合格时，结果无效。</w:t>
            </w:r>
          </w:p>
        </w:tc>
      </w:tr>
      <w:tr>
        <w:tc>
          <w:tcPr>
            <w:tcW w:type="dxa" w:w="794"/>
            <w:shd w:fill="FFFF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R011</w:t>
            </w:r>
          </w:p>
        </w:tc>
        <w:tc>
          <w:tcPr>
            <w:tcW w:type="dxa" w:w="2268"/>
            <w:shd w:fill="FFFF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维氏硬度试验</w:t>
            </w:r>
          </w:p>
        </w:tc>
        <w:tc>
          <w:tcPr>
            <w:tcW w:type="dxa" w:w="2438"/>
            <w:shd w:fill="FFFF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GB/T 4340.1—2024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YY/T 1702—2020 5.2.4.1、8.2.4.1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现行产品技术要求2.16.4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受控SOP-R013</w:t>
            </w:r>
          </w:p>
        </w:tc>
        <w:tc>
          <w:tcPr>
            <w:tcW w:type="dxa" w:w="3969"/>
            <w:shd w:fill="FFFF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钴铬合金产品硬度应不低于280HV10。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钛合金产品硬度应不低于260HV10。</w:t>
            </w:r>
          </w:p>
        </w:tc>
        <w:tc>
          <w:tcPr>
            <w:tcW w:type="dxa" w:w="3402"/>
            <w:shd w:fill="FFFF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按材料类别选择对应限值；各检测面有效压痕结果计算平均值后逐样判定。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钴铬合金平均值≥280HV10或钛合金平均值≥260HV10：符合；低于对应限值：不符合。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未提供材料限值时，仅报告实测硬度值及平均值，不作符合性判定。</w:t>
            </w:r>
          </w:p>
        </w:tc>
        <w:tc>
          <w:tcPr>
            <w:tcW w:type="dxa" w:w="2608"/>
            <w:shd w:fill="FFFF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标准硬度块核查、试验力、保荷时间和压痕有效性必须合格。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测试面应平坦、清洁且压痕清晰；必要时粗糙度推荐Ra≤0.3 μm。</w:t>
            </w:r>
          </w:p>
        </w:tc>
      </w:tr>
      <w:tr>
        <w:tc>
          <w:tcPr>
            <w:tcW w:type="dxa" w:w="794"/>
            <w:shd w:fill="F7FB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R012</w:t>
            </w:r>
          </w:p>
        </w:tc>
        <w:tc>
          <w:tcPr>
            <w:tcW w:type="dxa" w:w="2268"/>
            <w:shd w:fill="F7FB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牙科材料色稳定性试验</w:t>
            </w:r>
          </w:p>
        </w:tc>
        <w:tc>
          <w:tcPr>
            <w:tcW w:type="dxa" w:w="2438"/>
            <w:shd w:fill="F7FB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YY/T 0631—2008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受控SOP-R012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产品标准/委托协议/注册技术要求</w:t>
            </w:r>
          </w:p>
        </w:tc>
        <w:tc>
          <w:tcPr>
            <w:tcW w:type="dxa" w:w="3969"/>
            <w:shd w:fill="F7FB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本方法为3名颜色视觉正常观察者的目视色泽比较法，不等同于色差仪ΔE法。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具体合格限值应由产品标准、委托协议、注册技术要求或客户要求确定。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若规定“无明显色泽差异”为合格，则采用多数判定。</w:t>
            </w:r>
          </w:p>
        </w:tc>
        <w:tc>
          <w:tcPr>
            <w:tcW w:type="dxa" w:w="3402"/>
            <w:shd w:fill="F7FB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至少2名观察者判定“未见明显色泽差异”：合格。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至少2名观察者判定“可见明显色泽差异”：不合格。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无明确合格判定依据时，仅描述观察结果，不作符合性判定；观察分歧或条件异常时复检。</w:t>
            </w:r>
          </w:p>
        </w:tc>
        <w:tc>
          <w:tcPr>
            <w:tcW w:type="dxa" w:w="2608"/>
            <w:shd w:fill="F7FB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3名观察者独立判定，不得相互提示。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D65光源，照度1000～2000 lx；观察距离200～300 mm；单次观察时间≤2 s；背景和水浴条件符合要求。</w:t>
            </w:r>
          </w:p>
        </w:tc>
      </w:tr>
      <w:tr>
        <w:tc>
          <w:tcPr>
            <w:tcW w:type="dxa" w:w="794"/>
            <w:shd w:fill="FFFF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R013</w:t>
            </w:r>
          </w:p>
        </w:tc>
        <w:tc>
          <w:tcPr>
            <w:tcW w:type="dxa" w:w="2268"/>
            <w:shd w:fill="FFFF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增材制造金属试样厚度测量</w:t>
            </w:r>
          </w:p>
        </w:tc>
        <w:tc>
          <w:tcPr>
            <w:tcW w:type="dxa" w:w="2438"/>
            <w:shd w:fill="FFFF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YY/T 1702—2020 5.2.2、8.2.2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现行产品技术要求2.16.2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受控SOP-R008</w:t>
            </w:r>
          </w:p>
        </w:tc>
        <w:tc>
          <w:tcPr>
            <w:tcW w:type="dxa" w:w="3969"/>
            <w:shd w:fill="FFFF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打印后试样厚度与设计厚度的偏差应不大于±0.05 mm。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尺寸偏差=试样总平均厚度－设计厚度。</w:t>
            </w:r>
          </w:p>
        </w:tc>
        <w:tc>
          <w:tcPr>
            <w:tcW w:type="dxa" w:w="3402"/>
            <w:shd w:fill="FFFF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每个试样按固定端、中点、自由端多个测点计算截面平均和总平均。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－0.05 mm≤尺寸偏差≤+0.05 mm：单样符合；超出范围：单样不符合。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各试样逐件判定并汇总；特殊设计尺寸必须有书面依据。</w:t>
            </w:r>
          </w:p>
        </w:tc>
        <w:tc>
          <w:tcPr>
            <w:tcW w:type="dxa" w:w="2608"/>
            <w:shd w:fill="FFFFFF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52" w:lineRule="auto"/>
              <w:ind w:left="85" w:hanging="85"/>
            </w:pPr>
            <w:r/>
            <w:r>
              <w:rPr>
                <w:rFonts w:ascii="宋体" w:hAnsi="宋体" w:eastAsia="宋体"/>
                <w:sz w:val="16"/>
              </w:rPr>
              <w:t>• 标准量块核查误差应≤0.002 mm，否则不得开展正式测量。</w:t>
            </w:r>
          </w:p>
          <w:p>
            <w:pPr>
              <w:spacing w:before="0" w:after="0" w:line="252" w:lineRule="auto"/>
              <w:ind w:left="85" w:hanging="85"/>
            </w:pPr>
            <w:r>
              <w:rPr>
                <w:rFonts w:ascii="宋体" w:hAnsi="宋体" w:eastAsia="宋体"/>
                <w:sz w:val="16"/>
              </w:rPr>
              <w:t>• 试样需在18～22 ℃环境平衡≥1 h；不得打磨、挤压或改变真实尺寸。</w:t>
            </w:r>
          </w:p>
        </w:tc>
      </w:tr>
    </w:tbl>
    <w:p>
      <w:pPr>
        <w:spacing w:before="80" w:after="0"/>
      </w:pPr>
      <w:r>
        <w:rPr>
          <w:rFonts w:ascii="黑体" w:hAnsi="黑体" w:eastAsia="黑体"/>
          <w:b/>
          <w:sz w:val="17"/>
        </w:rPr>
        <w:t>来源说明：</w:t>
      </w:r>
      <w:r>
        <w:rPr>
          <w:rFonts w:ascii="宋体" w:hAnsi="宋体" w:eastAsia="宋体"/>
          <w:sz w:val="16"/>
        </w:rPr>
        <w:t>本汇总依据《定制式固定义齿产品技术要求（哈尔滨瑞城）》以及项目中现行R001、R004、R005、R006、R007、R009、R010、R011、R012、R013受控SOP/原始记录整理。若标准换版、产品技术要求变更或委托协议另有规定，应同步更新本汇总并保留版本记录。</w:t>
      </w:r>
    </w:p>
    <w:sectPr w:rsidR="00FC693F" w:rsidRPr="0006063C" w:rsidSect="00034616">
      <w:footerReference w:type="default" r:id="rId9"/>
      <w:pgSz w:w="16838" w:h="11906" w:orient="landscape"/>
      <w:pgMar w:top="624" w:right="567" w:bottom="62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5"/>
      </w:rPr>
      <w:t>十个现有实验评价标准汇总  |  大连标普检测有限公司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