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94709">
      <w:pPr>
        <w:spacing w:after="240"/>
        <w:jc w:val="center"/>
        <w:rPr>
          <w:rFonts w:hint="eastAsia" w:eastAsia="黑体"/>
          <w:color w:val="auto"/>
          <w:lang w:val="en-US" w:eastAsia="zh-CN"/>
        </w:rPr>
      </w:pPr>
      <w:r>
        <w:rPr>
          <w:rFonts w:ascii="黑体" w:hAnsi="黑体" w:eastAsia="黑体"/>
          <w:b/>
          <w:color w:val="auto"/>
          <w:sz w:val="40"/>
        </w:rPr>
        <w:t>激光选区熔化金属材料密度试验</w:t>
      </w:r>
      <w:r>
        <w:rPr>
          <w:rFonts w:hint="eastAsia" w:ascii="黑体" w:hAnsi="黑体" w:eastAsia="黑体"/>
          <w:b/>
          <w:color w:val="auto"/>
          <w:sz w:val="40"/>
          <w:lang w:val="en-US" w:eastAsia="zh-CN"/>
        </w:rPr>
        <w:t>作业指导书</w:t>
      </w:r>
    </w:p>
    <w:p w14:paraId="5EDB2FD6">
      <w:pPr>
        <w:pStyle w:val="166"/>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32"/>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shd w:val="clear" w:color="auto" w:fill="auto"/>
                <w:rtl w:val="0"/>
                <w:lang w:val="en-US" w:eastAsia="zh-CN"/>
              </w:rPr>
            </w:pPr>
            <w:r>
              <w:rPr>
                <w:rFonts w:hint="eastAsia" w:ascii="宋体" w:hAnsi="宋体" w:eastAsia="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166"/>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32"/>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49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167"/>
              <w:keepNext w:val="0"/>
              <w:pageBreakBefore w:val="0"/>
              <w:framePr w:wrap="auto" w:vAnchor="margin" w:hAnchor="text" w:yAlign="inline"/>
              <w:widowControl w:val="0"/>
              <w:kinsoku w:val="0"/>
              <w:wordWrap/>
              <w:overflowPunct w:val="0"/>
              <w:topLinePunct w:val="0"/>
              <w:bidi w:val="0"/>
              <w:adjustRightInd/>
              <w:snapToGrid/>
              <w:spacing w:before="0" w:after="0"/>
              <w:jc w:val="left"/>
              <w:textAlignment w:val="auto"/>
              <w:rPr>
                <w:rFonts w:hint="default" w:ascii="宋体" w:hAnsi="宋体" w:eastAsia="宋体" w:cs="宋体"/>
                <w:b w:val="0"/>
                <w:bCs w:val="0"/>
                <w:sz w:val="21"/>
                <w:szCs w:val="21"/>
                <w:rtl w:val="0"/>
                <w:lang w:val="en-US" w:eastAsia="zh-CN"/>
              </w:rPr>
            </w:pPr>
            <w:r>
              <w:rPr>
                <w:rFonts w:hint="eastAsia" w:ascii="宋体" w:hAnsi="宋体" w:eastAsia="宋体" w:cs="宋体"/>
                <w:color w:val="auto"/>
                <w:sz w:val="21"/>
                <w:szCs w:val="21"/>
                <w:shd w:val="clear" w:color="auto" w:fill="auto"/>
                <w:rtl w:val="0"/>
                <w:lang w:val="en-US"/>
              </w:rPr>
              <w:t>建立</w:t>
            </w:r>
            <w:r>
              <w:rPr>
                <w:rFonts w:hint="eastAsia" w:ascii="宋体" w:hAnsi="宋体" w:eastAsia="宋体" w:cs="宋体"/>
                <w:color w:val="auto"/>
                <w:sz w:val="21"/>
                <w:szCs w:val="21"/>
                <w:shd w:val="clear" w:color="auto" w:fill="auto"/>
                <w:rtl w:val="0"/>
                <w:lang w:val="en-US" w:eastAsia="zh-CN"/>
              </w:rPr>
              <w:t>激光选区熔化金属材料密度试验</w:t>
            </w:r>
            <w:r>
              <w:rPr>
                <w:rFonts w:hint="eastAsia" w:ascii="宋体" w:hAnsi="宋体" w:eastAsia="宋体" w:cs="宋体"/>
                <w:sz w:val="21"/>
                <w:szCs w:val="21"/>
                <w:shd w:val="clear" w:color="auto" w:fill="auto"/>
                <w:rtl w:val="0"/>
                <w:lang w:val="en-US" w:eastAsia="zh-CN"/>
              </w:rPr>
              <w:t>作业指导书。</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r>
              <w:t>V1.1</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r>
              <w:t>统一密度试样数量为6个</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r>
              <w:t>与R016原始记录及十四项评价标准保持一致。</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r/>
          </w:p>
        </w:tc>
      </w:tr>
      <w:tr w14:paraId="6A02A25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23510CB">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bookmarkStart w:id="0" w:name="文件修订记录"/>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D47C753">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D0A7895">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0505315">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C806D7B">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r>
      <w:tr w14:paraId="0931D66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463E58">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8C541B1">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47A9EDB">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EE352A">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BC5E8B">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r>
      <w:tr w14:paraId="273DF08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65AD0C9">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5EF9DC4">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43F34D9">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DBDD8F5">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A3BD23">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r>
      <w:tr w14:paraId="3BD8C2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FE09404">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9E994AD">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2BC1042">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F9D912F">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57BC62">
            <w:pPr>
              <w:keepNext w:val="0"/>
              <w:keepLines w:val="0"/>
              <w:pageBreakBefore w:val="0"/>
              <w:widowControl w:val="0"/>
              <w:kinsoku w:val="0"/>
              <w:wordWrap/>
              <w:overflowPunct w:val="0"/>
              <w:topLinePunct w:val="0"/>
              <w:autoSpaceDE w:val="0"/>
              <w:autoSpaceDN w:val="0"/>
              <w:bidi w:val="0"/>
              <w:adjustRightInd/>
              <w:snapToGrid/>
              <w:spacing w:before="0" w:after="0"/>
              <w:textAlignment w:val="auto"/>
              <w:rPr>
                <w:b w:val="0"/>
                <w:bCs w:val="0"/>
              </w:rPr>
            </w:pPr>
          </w:p>
        </w:tc>
      </w:tr>
      <w:tr w14:paraId="50063F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E6B5AA6">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7E6A2D0">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F49E61B">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68E98A0">
            <w:pPr>
              <w:keepNext w:val="0"/>
              <w:keepLines w:val="0"/>
              <w:pageBreakBefore w:val="0"/>
              <w:widowControl w:val="0"/>
              <w:kinsoku w:val="0"/>
              <w:wordWrap/>
              <w:overflowPunct w:val="0"/>
              <w:topLinePunct w:val="0"/>
              <w:autoSpaceDE w:val="0"/>
              <w:autoSpaceDN w:val="0"/>
              <w:bidi w:val="0"/>
              <w:adjustRightInd/>
              <w:snapToGrid/>
              <w:spacing w:before="0" w:after="0" w:line="360" w:lineRule="auto"/>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D917D27">
            <w:pPr>
              <w:keepNext w:val="0"/>
              <w:keepLines w:val="0"/>
              <w:pageBreakBefore w:val="0"/>
              <w:widowControl w:val="0"/>
              <w:kinsoku w:val="0"/>
              <w:wordWrap/>
              <w:overflowPunct w:val="0"/>
              <w:topLinePunct w:val="0"/>
              <w:autoSpaceDE w:val="0"/>
              <w:autoSpaceDN w:val="0"/>
              <w:bidi w:val="0"/>
              <w:adjustRightInd/>
              <w:snapToGrid/>
              <w:spacing w:before="0" w:after="0" w:line="360" w:lineRule="auto"/>
              <w:textAlignment w:val="auto"/>
              <w:rPr>
                <w:b w:val="0"/>
                <w:bCs w:val="0"/>
              </w:rPr>
            </w:pPr>
          </w:p>
        </w:tc>
      </w:tr>
      <w:tr w14:paraId="42461CD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0D2EF4">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FAAE193">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A957B90">
            <w:pPr>
              <w:pStyle w:val="167"/>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360" w:lineRule="auto"/>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4636147">
            <w:pPr>
              <w:keepNext w:val="0"/>
              <w:keepLines w:val="0"/>
              <w:pageBreakBefore w:val="0"/>
              <w:widowControl w:val="0"/>
              <w:kinsoku w:val="0"/>
              <w:wordWrap/>
              <w:overflowPunct w:val="0"/>
              <w:topLinePunct w:val="0"/>
              <w:autoSpaceDE w:val="0"/>
              <w:autoSpaceDN w:val="0"/>
              <w:bidi w:val="0"/>
              <w:adjustRightInd/>
              <w:snapToGrid/>
              <w:spacing w:before="0" w:after="0" w:line="360" w:lineRule="auto"/>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BB3BD15">
            <w:pPr>
              <w:keepNext w:val="0"/>
              <w:keepLines w:val="0"/>
              <w:pageBreakBefore w:val="0"/>
              <w:widowControl w:val="0"/>
              <w:kinsoku w:val="0"/>
              <w:wordWrap/>
              <w:overflowPunct w:val="0"/>
              <w:topLinePunct w:val="0"/>
              <w:autoSpaceDE w:val="0"/>
              <w:autoSpaceDN w:val="0"/>
              <w:bidi w:val="0"/>
              <w:adjustRightInd/>
              <w:snapToGrid/>
              <w:spacing w:before="0" w:after="0" w:line="360" w:lineRule="auto"/>
              <w:textAlignment w:val="auto"/>
              <w:rPr>
                <w:b w:val="0"/>
                <w:bCs w:val="0"/>
              </w:rPr>
            </w:pPr>
          </w:p>
        </w:tc>
      </w:tr>
      <w:bookmarkEnd w:id="0"/>
    </w:tbl>
    <w:p w14:paraId="6C2B1F22">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 目的</w:t>
      </w:r>
    </w:p>
    <w:p w14:paraId="3E450B84">
      <w:pPr>
        <w:pStyle w:val="164"/>
        <w:keepLines w:val="0"/>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规范采用带密度测量组件、内置校准功能和自动密度计算程序的电子天平，对激光选区熔化口腔修复用金属材料试样进行密度测定的全过程，确保样品清洗、天平校准、水温输入、空气中称量、水中称量、气泡排除、自动计算、结果复核和原始记录均处于受控状态，保证检测结果真实、准确、完整、可追溯，满足</w:t>
      </w:r>
      <w:r>
        <w:rPr>
          <w:rFonts w:hint="eastAsia" w:cs="宋体"/>
          <w:color w:val="auto"/>
          <w:lang w:val="en-US" w:eastAsia="zh-CN"/>
        </w:rPr>
        <w:t>实验室的</w:t>
      </w:r>
      <w:r>
        <w:rPr>
          <w:rFonts w:hint="eastAsia" w:ascii="宋体" w:hAnsi="宋体" w:eastAsia="宋体" w:cs="宋体"/>
          <w:color w:val="auto"/>
        </w:rPr>
        <w:t>管理要求。</w:t>
      </w:r>
    </w:p>
    <w:p w14:paraId="36E62D31">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2 适用范围</w:t>
      </w:r>
    </w:p>
    <w:p w14:paraId="140E5973">
      <w:pPr>
        <w:pStyle w:val="164"/>
        <w:keepLines w:val="0"/>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本</w:t>
      </w:r>
      <w:r>
        <w:rPr>
          <w:rFonts w:hint="eastAsia" w:cs="宋体"/>
          <w:color w:val="auto"/>
          <w:lang w:val="en-US" w:eastAsia="zh-CN"/>
        </w:rPr>
        <w:t>文件</w:t>
      </w:r>
      <w:r>
        <w:rPr>
          <w:rFonts w:hint="eastAsia" w:ascii="宋体" w:hAnsi="宋体" w:eastAsia="宋体" w:cs="宋体"/>
          <w:color w:val="auto"/>
        </w:rPr>
        <w:t>适用于依据YY/T 1702-2020开展的激光选区熔化口腔固定和活动修复用金属材料密度试验。试验采用阿基米德原理静水称量法，由具备内校准和自动计算功能的电子天平测定试样在空气中的质量及在水中的表观质量并自动计算密度。</w:t>
      </w:r>
    </w:p>
    <w:p w14:paraId="6B418802">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3 依据文件</w:t>
      </w:r>
    </w:p>
    <w:p w14:paraId="3A56ED36">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YY/T 1702-2020《牙科学 增材制造 口腔固定和活动修复用激光选区熔化金属材料》；</w:t>
      </w:r>
    </w:p>
    <w:p w14:paraId="54872A3D">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GB 17168-2013/ISO 22674:2006《牙科学 固定和活动修复用金属材料》；</w:t>
      </w:r>
    </w:p>
    <w:p w14:paraId="776AE83F">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ISO 22674:2016《Dentistry—Metallic materials for fixed and removable restorations and appliances》；</w:t>
      </w:r>
    </w:p>
    <w:p w14:paraId="322373F2">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ISO 3696《分析实验室用水 规格和试验方法》；</w:t>
      </w:r>
    </w:p>
    <w:p w14:paraId="33ABF215">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所用电子天平、密度测量组件及自动计算程序使用说明书；</w:t>
      </w:r>
    </w:p>
    <w:p w14:paraId="38CE73EB">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szCs w:val="21"/>
          <w:rtl w:val="0"/>
          <w:lang w:val="en-US"/>
        </w:rPr>
        <w:t>实验室质量手册、程序文件</w:t>
      </w:r>
      <w:r>
        <w:rPr>
          <w:rFonts w:hint="eastAsia" w:ascii="宋体" w:hAnsi="宋体" w:eastAsia="宋体" w:cs="宋体"/>
          <w:color w:val="auto"/>
          <w:sz w:val="21"/>
          <w:szCs w:val="21"/>
          <w:rtl w:val="0"/>
          <w:lang w:val="en-US" w:eastAsia="zh-CN"/>
        </w:rPr>
        <w:t>的</w:t>
      </w:r>
      <w:r>
        <w:rPr>
          <w:rFonts w:hint="eastAsia" w:ascii="宋体" w:hAnsi="宋体" w:eastAsia="宋体" w:cs="宋体"/>
          <w:color w:val="auto"/>
          <w:sz w:val="21"/>
          <w:szCs w:val="21"/>
          <w:rtl w:val="0"/>
          <w:lang w:val="en-US"/>
        </w:rPr>
        <w:t>要求</w:t>
      </w:r>
      <w:r>
        <w:rPr>
          <w:rFonts w:hint="eastAsia" w:cs="宋体"/>
          <w:color w:val="auto"/>
          <w:sz w:val="21"/>
          <w:szCs w:val="21"/>
          <w:rtl w:val="0"/>
          <w:lang w:val="en-US" w:eastAsia="zh-CN"/>
        </w:rPr>
        <w:t>。</w:t>
      </w:r>
    </w:p>
    <w:p w14:paraId="01633F01">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 术语、符号和试验原理</w:t>
      </w:r>
    </w:p>
    <w:p w14:paraId="66C7098E">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4.1 试验原理</w:t>
      </w:r>
    </w:p>
    <w:p w14:paraId="6A416A03">
      <w:pPr>
        <w:pStyle w:val="164"/>
        <w:keepLines w:val="0"/>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根据阿基米德原理，试样浸没在已知密度的液体中时受到浮力。通过测定试样在空气中的质量与在水中的表观质量，由天平密度程序自动计算试样密度。</w:t>
      </w:r>
    </w:p>
    <w:p w14:paraId="32C8B20C">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4.2 符号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4"/>
        <w:gridCol w:w="5216"/>
        <w:gridCol w:w="1984"/>
      </w:tblGrid>
      <w:tr w14:paraId="6BAC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jc w:val="center"/>
        </w:trPr>
        <w:tc>
          <w:tcPr>
            <w:tcW w:w="1474" w:type="dxa"/>
            <w:shd w:val="clear" w:color="auto" w:fill="auto"/>
            <w:vAlign w:val="center"/>
          </w:tcPr>
          <w:p w14:paraId="11D85A8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8"/>
              </w:rPr>
              <w:t>符号</w:t>
            </w:r>
          </w:p>
        </w:tc>
        <w:tc>
          <w:tcPr>
            <w:tcW w:w="5216" w:type="dxa"/>
            <w:shd w:val="clear" w:color="auto" w:fill="auto"/>
            <w:vAlign w:val="center"/>
          </w:tcPr>
          <w:p w14:paraId="77D5104F">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8"/>
              </w:rPr>
              <w:t>含义</w:t>
            </w:r>
          </w:p>
        </w:tc>
        <w:tc>
          <w:tcPr>
            <w:tcW w:w="1984" w:type="dxa"/>
            <w:shd w:val="clear" w:color="auto" w:fill="auto"/>
            <w:vAlign w:val="center"/>
          </w:tcPr>
          <w:p w14:paraId="3178A03B">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8"/>
              </w:rPr>
              <w:t>单位</w:t>
            </w:r>
          </w:p>
        </w:tc>
      </w:tr>
      <w:tr w14:paraId="5C5B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77F00E94">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A</w:t>
            </w:r>
          </w:p>
        </w:tc>
        <w:tc>
          <w:tcPr>
            <w:tcW w:w="5216" w:type="dxa"/>
            <w:shd w:val="clear" w:color="auto" w:fill="auto"/>
            <w:vAlign w:val="center"/>
          </w:tcPr>
          <w:p w14:paraId="344E482C">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8"/>
              </w:rPr>
              <w:t>试样在空气中的质量</w:t>
            </w:r>
          </w:p>
        </w:tc>
        <w:tc>
          <w:tcPr>
            <w:tcW w:w="1984" w:type="dxa"/>
            <w:shd w:val="clear" w:color="auto" w:fill="auto"/>
            <w:vAlign w:val="center"/>
          </w:tcPr>
          <w:p w14:paraId="5CAAE769">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g</w:t>
            </w:r>
          </w:p>
        </w:tc>
      </w:tr>
      <w:tr w14:paraId="0CF1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45F82A8D">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B</w:t>
            </w:r>
          </w:p>
        </w:tc>
        <w:tc>
          <w:tcPr>
            <w:tcW w:w="5216" w:type="dxa"/>
            <w:shd w:val="clear" w:color="auto" w:fill="auto"/>
            <w:vAlign w:val="center"/>
          </w:tcPr>
          <w:p w14:paraId="2F5EEFF7">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8"/>
              </w:rPr>
              <w:t>试样在水中的表观质量</w:t>
            </w:r>
          </w:p>
        </w:tc>
        <w:tc>
          <w:tcPr>
            <w:tcW w:w="1984" w:type="dxa"/>
            <w:shd w:val="clear" w:color="auto" w:fill="auto"/>
            <w:vAlign w:val="center"/>
          </w:tcPr>
          <w:p w14:paraId="2189A9B3">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g</w:t>
            </w:r>
          </w:p>
        </w:tc>
      </w:tr>
      <w:tr w14:paraId="523B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4E27345F">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ρ₀</w:t>
            </w:r>
          </w:p>
        </w:tc>
        <w:tc>
          <w:tcPr>
            <w:tcW w:w="5216" w:type="dxa"/>
            <w:shd w:val="clear" w:color="auto" w:fill="auto"/>
            <w:vAlign w:val="center"/>
          </w:tcPr>
          <w:p w14:paraId="4EFD738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8"/>
              </w:rPr>
              <w:t>试验温度下水的密度</w:t>
            </w:r>
          </w:p>
        </w:tc>
        <w:tc>
          <w:tcPr>
            <w:tcW w:w="1984" w:type="dxa"/>
            <w:shd w:val="clear" w:color="auto" w:fill="auto"/>
            <w:vAlign w:val="center"/>
          </w:tcPr>
          <w:p w14:paraId="74865BC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g/cm³</w:t>
            </w:r>
          </w:p>
        </w:tc>
      </w:tr>
      <w:tr w14:paraId="3B3A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0F51792C">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ρ</w:t>
            </w:r>
          </w:p>
        </w:tc>
        <w:tc>
          <w:tcPr>
            <w:tcW w:w="5216" w:type="dxa"/>
            <w:shd w:val="clear" w:color="auto" w:fill="auto"/>
            <w:vAlign w:val="center"/>
          </w:tcPr>
          <w:p w14:paraId="4108A415">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8"/>
              </w:rPr>
              <w:t>试样密度</w:t>
            </w:r>
          </w:p>
        </w:tc>
        <w:tc>
          <w:tcPr>
            <w:tcW w:w="1984" w:type="dxa"/>
            <w:shd w:val="clear" w:color="auto" w:fill="auto"/>
            <w:vAlign w:val="center"/>
          </w:tcPr>
          <w:p w14:paraId="4A7F4CE7">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8"/>
              </w:rPr>
              <w:t>g/cm³</w:t>
            </w:r>
          </w:p>
        </w:tc>
      </w:tr>
    </w:tbl>
    <w:p w14:paraId="1B9EBAF4">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4.3 计算与自动计算程序</w:t>
      </w:r>
    </w:p>
    <w:p w14:paraId="45877569">
      <w:pPr>
        <w:pStyle w:val="164"/>
        <w:keepLines w:val="0"/>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rPr>
        <w:t>自动计算天平应按制造商规定的算法计算密度。常用计算式为ρ=A×ρ₀/(A-B)；天平自动计算功能在首次启用、维修、软件升级或计算参数改变后，应使用同一组A、B和ρ₀数据进行人工复算或电子表格复算，确认自动计算结果一致。</w:t>
      </w:r>
    </w:p>
    <w:p w14:paraId="0B42BDC9">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5 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200"/>
        <w:gridCol w:w="8216"/>
      </w:tblGrid>
      <w:tr w14:paraId="2D74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jc w:val="center"/>
        </w:trPr>
        <w:tc>
          <w:tcPr>
            <w:tcW w:w="2215" w:type="dxa"/>
            <w:shd w:val="clear" w:color="auto" w:fill="auto"/>
            <w:vAlign w:val="center"/>
          </w:tcPr>
          <w:p w14:paraId="44E2B5FE">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7"/>
              </w:rPr>
              <w:t>岗位/角色</w:t>
            </w:r>
          </w:p>
        </w:tc>
        <w:tc>
          <w:tcPr>
            <w:tcW w:w="8278" w:type="dxa"/>
            <w:shd w:val="clear" w:color="auto" w:fill="auto"/>
            <w:vAlign w:val="center"/>
          </w:tcPr>
          <w:p w14:paraId="372F2B1A">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7"/>
              </w:rPr>
              <w:t>职责</w:t>
            </w:r>
          </w:p>
        </w:tc>
      </w:tr>
      <w:tr w14:paraId="6860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03139345">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7"/>
              </w:rPr>
              <w:t>检测人员</w:t>
            </w:r>
          </w:p>
        </w:tc>
        <w:tc>
          <w:tcPr>
            <w:tcW w:w="8278" w:type="dxa"/>
            <w:shd w:val="clear" w:color="auto" w:fill="auto"/>
            <w:vAlign w:val="center"/>
          </w:tcPr>
          <w:p w14:paraId="02A245C9">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7"/>
              </w:rPr>
              <w:t>核对样品和检测依据；确认设备状态；实施清洗、称量和气泡排除；及时填写原始记录；保存天平打印件、截图或电子数据；报告异常。</w:t>
            </w:r>
          </w:p>
        </w:tc>
      </w:tr>
      <w:tr w14:paraId="476F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575F6A8">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lang w:eastAsia="zh-CN"/>
              </w:rPr>
            </w:pPr>
            <w:r>
              <w:rPr>
                <w:rFonts w:hint="eastAsia" w:cs="宋体"/>
                <w:b w:val="0"/>
                <w:color w:val="auto"/>
                <w:sz w:val="17"/>
                <w:lang w:eastAsia="zh-CN"/>
              </w:rPr>
              <w:t>核验人员</w:t>
            </w:r>
          </w:p>
        </w:tc>
        <w:tc>
          <w:tcPr>
            <w:tcW w:w="8278" w:type="dxa"/>
            <w:shd w:val="clear" w:color="auto" w:fill="auto"/>
            <w:vAlign w:val="center"/>
          </w:tcPr>
          <w:p w14:paraId="34EC45CF">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7"/>
              </w:rPr>
              <w:t>复核样品数量、称量数据、水温及水密度、自动计算结果、声明密度、偏差计算、结论和附件对应关系。</w:t>
            </w:r>
          </w:p>
        </w:tc>
      </w:tr>
      <w:tr w14:paraId="25EF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BAE2E2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7"/>
              </w:rPr>
              <w:t>设备管理员</w:t>
            </w:r>
          </w:p>
        </w:tc>
        <w:tc>
          <w:tcPr>
            <w:tcW w:w="8278" w:type="dxa"/>
            <w:shd w:val="clear" w:color="auto" w:fill="auto"/>
            <w:vAlign w:val="center"/>
          </w:tcPr>
          <w:p w14:paraId="46F1A751">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7"/>
              </w:rPr>
              <w:t>负责天平、密度组件、温度计及辅助器具的校准、核查、维护、状态标识和故障处理。</w:t>
            </w:r>
          </w:p>
        </w:tc>
      </w:tr>
      <w:tr w14:paraId="5C97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4AD6DB5">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7"/>
              </w:rPr>
              <w:t>技术负责人</w:t>
            </w:r>
          </w:p>
        </w:tc>
        <w:tc>
          <w:tcPr>
            <w:tcW w:w="8278" w:type="dxa"/>
            <w:shd w:val="clear" w:color="auto" w:fill="auto"/>
            <w:vAlign w:val="center"/>
          </w:tcPr>
          <w:p w14:paraId="7999A5C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7"/>
              </w:rPr>
              <w:t>负责方法确认、自动计算程序验证、人员授权、异常结果和方法偏离的技术评审。</w:t>
            </w:r>
          </w:p>
        </w:tc>
      </w:tr>
      <w:tr w14:paraId="1CB3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65DE62D2">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7"/>
              </w:rPr>
              <w:t>质量负责人/授权签字人</w:t>
            </w:r>
          </w:p>
        </w:tc>
        <w:tc>
          <w:tcPr>
            <w:tcW w:w="8278" w:type="dxa"/>
            <w:shd w:val="clear" w:color="auto" w:fill="auto"/>
            <w:vAlign w:val="center"/>
          </w:tcPr>
          <w:p w14:paraId="6869D5F7">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7"/>
              </w:rPr>
              <w:t>监督记录和不符合工作控制；审核对外报告及</w:t>
            </w:r>
            <w:r>
              <w:rPr>
                <w:rFonts w:hint="eastAsia" w:cs="宋体"/>
                <w:b w:val="0"/>
                <w:color w:val="auto"/>
                <w:sz w:val="17"/>
                <w:lang w:val="en-US" w:eastAsia="zh-CN"/>
              </w:rPr>
              <w:t>实验室</w:t>
            </w:r>
            <w:r>
              <w:rPr>
                <w:rFonts w:hint="eastAsia" w:ascii="宋体" w:hAnsi="宋体" w:eastAsia="宋体" w:cs="宋体"/>
                <w:b w:val="0"/>
                <w:color w:val="auto"/>
                <w:sz w:val="17"/>
              </w:rPr>
              <w:t>标识使用的合规性。</w:t>
            </w:r>
          </w:p>
        </w:tc>
      </w:tr>
    </w:tbl>
    <w:p w14:paraId="57417719">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 人员、环境与安全要求</w:t>
      </w:r>
    </w:p>
    <w:p w14:paraId="19362887">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6.1 人员要求</w:t>
      </w:r>
    </w:p>
    <w:p w14:paraId="2B61AC1C">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检测人员应接受YY/T 1702-2020、静水称量法、天平及密度组件操作、气泡控制、原始记录和</w:t>
      </w:r>
      <w:r>
        <w:rPr>
          <w:rFonts w:hint="eastAsia" w:cs="宋体"/>
          <w:color w:val="auto"/>
          <w:sz w:val="21"/>
          <w:lang w:eastAsia="zh-CN"/>
        </w:rPr>
        <w:t>实验室</w:t>
      </w:r>
      <w:r>
        <w:rPr>
          <w:rFonts w:hint="eastAsia" w:ascii="宋体" w:hAnsi="宋体" w:eastAsia="宋体" w:cs="宋体"/>
          <w:color w:val="auto"/>
          <w:sz w:val="21"/>
        </w:rPr>
        <w:t>质量体系培训，并经考核授权后独立操作。</w:t>
      </w:r>
    </w:p>
    <w:p w14:paraId="110CA3C7">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检测人员应理解内校准仅用于天平日常调整和状态确认，不能代替有资质机构实施的外部计量校准或检定。</w:t>
      </w:r>
    </w:p>
    <w:p w14:paraId="106F5FAC">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cs="宋体"/>
          <w:color w:val="auto"/>
          <w:sz w:val="21"/>
          <w:lang w:eastAsia="zh-CN"/>
        </w:rPr>
        <w:t>核验人员</w:t>
      </w:r>
      <w:r>
        <w:rPr>
          <w:rFonts w:hint="eastAsia" w:ascii="宋体" w:hAnsi="宋体" w:eastAsia="宋体" w:cs="宋体"/>
          <w:color w:val="auto"/>
          <w:sz w:val="21"/>
        </w:rPr>
        <w:t>应能识别水中称量接触、气泡、漂移、样品吸附水及自动计算参数错误对结果的影响。</w:t>
      </w:r>
    </w:p>
    <w:p w14:paraId="7A592863">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6.2 环境要求</w:t>
      </w:r>
    </w:p>
    <w:p w14:paraId="31285A48">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天平应安装在稳固、水平、防振的工作台上，避开强气流、阳光直射、热源、空调出风口、强磁场和明显振动。</w:t>
      </w:r>
    </w:p>
    <w:p w14:paraId="47C11D77">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实验室温湿度应在天平制造商规定的工作范围内并保持相对稳定；建议温度控制在（20±2）℃，每批试验记录实际温度和相对湿度。</w:t>
      </w:r>
    </w:p>
    <w:p w14:paraId="74081E3F">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试验用水、试样和密度组件应充分达到室温平衡；称量过程中水温变化不宜超过1℃。</w:t>
      </w:r>
    </w:p>
    <w:p w14:paraId="5CB08684">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6.3 安全要求</w:t>
      </w:r>
    </w:p>
    <w:p w14:paraId="4E72E679">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分析纯乙醇属于易燃液体，应在通风良好区域使用，远离火源和热源。</w:t>
      </w:r>
    </w:p>
    <w:p w14:paraId="180C331C">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操作超声波清洗机时应关闭盖板，避免溶剂飞溅；不得在不适宜的开放式超声槽中大量直接加入易燃溶剂。</w:t>
      </w:r>
    </w:p>
    <w:p w14:paraId="799E86E5">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使用无油压缩空气时应控制压力，防止试样飞出或伤人。</w:t>
      </w:r>
    </w:p>
    <w:p w14:paraId="415A58AE">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7 仪器设备、器具与材料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680"/>
        <w:gridCol w:w="2211"/>
        <w:gridCol w:w="4195"/>
        <w:gridCol w:w="2381"/>
      </w:tblGrid>
      <w:tr w14:paraId="19BE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jc w:val="center"/>
        </w:trPr>
        <w:tc>
          <w:tcPr>
            <w:tcW w:w="680" w:type="dxa"/>
            <w:shd w:val="clear" w:color="auto" w:fill="auto"/>
            <w:vAlign w:val="center"/>
          </w:tcPr>
          <w:p w14:paraId="47AE114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5"/>
              </w:rPr>
              <w:t>序号</w:t>
            </w:r>
          </w:p>
        </w:tc>
        <w:tc>
          <w:tcPr>
            <w:tcW w:w="2211" w:type="dxa"/>
            <w:shd w:val="clear" w:color="auto" w:fill="auto"/>
            <w:vAlign w:val="center"/>
          </w:tcPr>
          <w:p w14:paraId="264474F7">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5"/>
              </w:rPr>
              <w:t>设备/材料</w:t>
            </w:r>
          </w:p>
        </w:tc>
        <w:tc>
          <w:tcPr>
            <w:tcW w:w="4195" w:type="dxa"/>
            <w:shd w:val="clear" w:color="auto" w:fill="auto"/>
            <w:vAlign w:val="center"/>
          </w:tcPr>
          <w:p w14:paraId="38B081FB">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5"/>
              </w:rPr>
              <w:t>技术或状态要求</w:t>
            </w:r>
          </w:p>
        </w:tc>
        <w:tc>
          <w:tcPr>
            <w:tcW w:w="2381" w:type="dxa"/>
            <w:shd w:val="clear" w:color="auto" w:fill="auto"/>
            <w:vAlign w:val="center"/>
          </w:tcPr>
          <w:p w14:paraId="35B8ADEA">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5"/>
              </w:rPr>
              <w:t>用途</w:t>
            </w:r>
          </w:p>
        </w:tc>
      </w:tr>
      <w:tr w14:paraId="2920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0E98BB1B">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1</w:t>
            </w:r>
          </w:p>
        </w:tc>
        <w:tc>
          <w:tcPr>
            <w:tcW w:w="2211" w:type="dxa"/>
            <w:shd w:val="clear" w:color="auto" w:fill="auto"/>
            <w:vAlign w:val="center"/>
          </w:tcPr>
          <w:p w14:paraId="06755ED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内校准自动计算电子天平</w:t>
            </w:r>
          </w:p>
        </w:tc>
        <w:tc>
          <w:tcPr>
            <w:tcW w:w="4195" w:type="dxa"/>
            <w:shd w:val="clear" w:color="auto" w:fill="auto"/>
            <w:vAlign w:val="center"/>
          </w:tcPr>
          <w:p w14:paraId="60378BE4">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配密度测量程序和静水称量组件；分度值和最大允许误差满足预期不确定度；外部校准在有效期内；水平状态正常。</w:t>
            </w:r>
          </w:p>
        </w:tc>
        <w:tc>
          <w:tcPr>
            <w:tcW w:w="2381" w:type="dxa"/>
            <w:shd w:val="clear" w:color="auto" w:fill="auto"/>
            <w:vAlign w:val="center"/>
          </w:tcPr>
          <w:p w14:paraId="4088C575">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空气中质量、水中表观质量及密度自动计算</w:t>
            </w:r>
          </w:p>
        </w:tc>
      </w:tr>
      <w:tr w14:paraId="7FEB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4276B9C4">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2</w:t>
            </w:r>
          </w:p>
        </w:tc>
        <w:tc>
          <w:tcPr>
            <w:tcW w:w="2211" w:type="dxa"/>
            <w:shd w:val="clear" w:color="auto" w:fill="auto"/>
            <w:vAlign w:val="center"/>
          </w:tcPr>
          <w:p w14:paraId="7F168806">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密度测量组件</w:t>
            </w:r>
          </w:p>
        </w:tc>
        <w:tc>
          <w:tcPr>
            <w:tcW w:w="4195" w:type="dxa"/>
            <w:shd w:val="clear" w:color="auto" w:fill="auto"/>
            <w:vAlign w:val="center"/>
          </w:tcPr>
          <w:p w14:paraId="39DB079B">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支架、吊篮/称量盘、悬挂丝和烧杯完整、洁净、无变形；安装牢固；浸没部件不接触烧杯。</w:t>
            </w:r>
          </w:p>
        </w:tc>
        <w:tc>
          <w:tcPr>
            <w:tcW w:w="2381" w:type="dxa"/>
            <w:shd w:val="clear" w:color="auto" w:fill="auto"/>
            <w:vAlign w:val="center"/>
          </w:tcPr>
          <w:p w14:paraId="2140FC38">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静水称量</w:t>
            </w:r>
          </w:p>
        </w:tc>
      </w:tr>
      <w:tr w14:paraId="2CE9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4E7B9F27">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3</w:t>
            </w:r>
          </w:p>
        </w:tc>
        <w:tc>
          <w:tcPr>
            <w:tcW w:w="2211" w:type="dxa"/>
            <w:shd w:val="clear" w:color="auto" w:fill="auto"/>
            <w:vAlign w:val="center"/>
          </w:tcPr>
          <w:p w14:paraId="28FE4CC2">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温度计</w:t>
            </w:r>
          </w:p>
        </w:tc>
        <w:tc>
          <w:tcPr>
            <w:tcW w:w="4195" w:type="dxa"/>
            <w:shd w:val="clear" w:color="auto" w:fill="auto"/>
            <w:vAlign w:val="center"/>
          </w:tcPr>
          <w:p w14:paraId="69E4AB04">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分辨力不大于0.1℃，校准或核查有效。</w:t>
            </w:r>
          </w:p>
        </w:tc>
        <w:tc>
          <w:tcPr>
            <w:tcW w:w="2381" w:type="dxa"/>
            <w:shd w:val="clear" w:color="auto" w:fill="auto"/>
            <w:vAlign w:val="center"/>
          </w:tcPr>
          <w:p w14:paraId="19CD55F1">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测量试验水温</w:t>
            </w:r>
          </w:p>
        </w:tc>
      </w:tr>
      <w:tr w14:paraId="62E0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1E806964">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4</w:t>
            </w:r>
          </w:p>
        </w:tc>
        <w:tc>
          <w:tcPr>
            <w:tcW w:w="2211" w:type="dxa"/>
            <w:shd w:val="clear" w:color="auto" w:fill="auto"/>
            <w:vAlign w:val="center"/>
          </w:tcPr>
          <w:p w14:paraId="4193085B">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试验用水</w:t>
            </w:r>
          </w:p>
        </w:tc>
        <w:tc>
          <w:tcPr>
            <w:tcW w:w="4195" w:type="dxa"/>
            <w:shd w:val="clear" w:color="auto" w:fill="auto"/>
            <w:vAlign w:val="center"/>
          </w:tcPr>
          <w:p w14:paraId="0F6F0C5C">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符合ISO 3696三级水或实验室经确认的等效水。</w:t>
            </w:r>
          </w:p>
        </w:tc>
        <w:tc>
          <w:tcPr>
            <w:tcW w:w="2381" w:type="dxa"/>
            <w:shd w:val="clear" w:color="auto" w:fill="auto"/>
            <w:vAlign w:val="center"/>
          </w:tcPr>
          <w:p w14:paraId="390FA060">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浸没介质</w:t>
            </w:r>
          </w:p>
        </w:tc>
      </w:tr>
      <w:tr w14:paraId="0A70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2CEB014A">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5</w:t>
            </w:r>
          </w:p>
        </w:tc>
        <w:tc>
          <w:tcPr>
            <w:tcW w:w="2211" w:type="dxa"/>
            <w:shd w:val="clear" w:color="auto" w:fill="auto"/>
            <w:vAlign w:val="center"/>
          </w:tcPr>
          <w:p w14:paraId="24DB7EC5">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分析纯乙醇</w:t>
            </w:r>
          </w:p>
        </w:tc>
        <w:tc>
          <w:tcPr>
            <w:tcW w:w="4195" w:type="dxa"/>
            <w:shd w:val="clear" w:color="auto" w:fill="auto"/>
            <w:vAlign w:val="center"/>
          </w:tcPr>
          <w:p w14:paraId="6C43955F">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在有效期内，外观清洁。</w:t>
            </w:r>
          </w:p>
        </w:tc>
        <w:tc>
          <w:tcPr>
            <w:tcW w:w="2381" w:type="dxa"/>
            <w:shd w:val="clear" w:color="auto" w:fill="auto"/>
            <w:vAlign w:val="center"/>
          </w:tcPr>
          <w:p w14:paraId="017B97A0">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不规则试样清洗</w:t>
            </w:r>
          </w:p>
        </w:tc>
      </w:tr>
      <w:tr w14:paraId="012E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31349380">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6</w:t>
            </w:r>
          </w:p>
        </w:tc>
        <w:tc>
          <w:tcPr>
            <w:tcW w:w="2211" w:type="dxa"/>
            <w:shd w:val="clear" w:color="auto" w:fill="auto"/>
            <w:vAlign w:val="center"/>
          </w:tcPr>
          <w:p w14:paraId="7C3B2F9F">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超声波清洗机</w:t>
            </w:r>
          </w:p>
        </w:tc>
        <w:tc>
          <w:tcPr>
            <w:tcW w:w="4195" w:type="dxa"/>
            <w:shd w:val="clear" w:color="auto" w:fill="auto"/>
            <w:vAlign w:val="center"/>
          </w:tcPr>
          <w:p w14:paraId="1F8CFB82">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状态正常，计时功能有效。</w:t>
            </w:r>
          </w:p>
        </w:tc>
        <w:tc>
          <w:tcPr>
            <w:tcW w:w="2381" w:type="dxa"/>
            <w:shd w:val="clear" w:color="auto" w:fill="auto"/>
            <w:vAlign w:val="center"/>
          </w:tcPr>
          <w:p w14:paraId="06105449">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试样超声清洗2 min</w:t>
            </w:r>
          </w:p>
        </w:tc>
      </w:tr>
      <w:tr w14:paraId="2CD8F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08C0FA1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7</w:t>
            </w:r>
          </w:p>
        </w:tc>
        <w:tc>
          <w:tcPr>
            <w:tcW w:w="2211" w:type="dxa"/>
            <w:shd w:val="clear" w:color="auto" w:fill="auto"/>
            <w:vAlign w:val="center"/>
          </w:tcPr>
          <w:p w14:paraId="5C4E7FF5">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无油压缩空气/洁净干燥装置</w:t>
            </w:r>
          </w:p>
        </w:tc>
        <w:tc>
          <w:tcPr>
            <w:tcW w:w="4195" w:type="dxa"/>
            <w:shd w:val="clear" w:color="auto" w:fill="auto"/>
            <w:vAlign w:val="center"/>
          </w:tcPr>
          <w:p w14:paraId="5919516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无油、无水、无颗粒污染。</w:t>
            </w:r>
          </w:p>
        </w:tc>
        <w:tc>
          <w:tcPr>
            <w:tcW w:w="2381" w:type="dxa"/>
            <w:shd w:val="clear" w:color="auto" w:fill="auto"/>
            <w:vAlign w:val="center"/>
          </w:tcPr>
          <w:p w14:paraId="60BAF80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试样干燥</w:t>
            </w:r>
          </w:p>
        </w:tc>
      </w:tr>
      <w:tr w14:paraId="76F5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71EDFD7E">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8</w:t>
            </w:r>
          </w:p>
        </w:tc>
        <w:tc>
          <w:tcPr>
            <w:tcW w:w="2211" w:type="dxa"/>
            <w:shd w:val="clear" w:color="auto" w:fill="auto"/>
            <w:vAlign w:val="center"/>
          </w:tcPr>
          <w:p w14:paraId="5AF0C03F">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无损伤镊子、软毛刷</w:t>
            </w:r>
          </w:p>
        </w:tc>
        <w:tc>
          <w:tcPr>
            <w:tcW w:w="4195" w:type="dxa"/>
            <w:shd w:val="clear" w:color="auto" w:fill="auto"/>
            <w:vAlign w:val="center"/>
          </w:tcPr>
          <w:p w14:paraId="3C9445C4">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洁净，不与试样发生反应。</w:t>
            </w:r>
          </w:p>
        </w:tc>
        <w:tc>
          <w:tcPr>
            <w:tcW w:w="2381" w:type="dxa"/>
            <w:shd w:val="clear" w:color="auto" w:fill="auto"/>
            <w:vAlign w:val="center"/>
          </w:tcPr>
          <w:p w14:paraId="314EB23C">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取放试样、排除气泡</w:t>
            </w:r>
          </w:p>
        </w:tc>
      </w:tr>
      <w:tr w14:paraId="3E056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auto"/>
            <w:vAlign w:val="center"/>
          </w:tcPr>
          <w:p w14:paraId="07E031B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5"/>
              </w:rPr>
              <w:t>9</w:t>
            </w:r>
          </w:p>
        </w:tc>
        <w:tc>
          <w:tcPr>
            <w:tcW w:w="2211" w:type="dxa"/>
            <w:shd w:val="clear" w:color="auto" w:fill="auto"/>
            <w:vAlign w:val="center"/>
          </w:tcPr>
          <w:p w14:paraId="0241BB6B">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已知密度核查样/标准物质</w:t>
            </w:r>
          </w:p>
        </w:tc>
        <w:tc>
          <w:tcPr>
            <w:tcW w:w="4195" w:type="dxa"/>
            <w:shd w:val="clear" w:color="auto" w:fill="auto"/>
            <w:vAlign w:val="center"/>
          </w:tcPr>
          <w:p w14:paraId="1679FECC">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密度值可追溯，覆盖实际测量范围或具有适宜控制限。</w:t>
            </w:r>
          </w:p>
        </w:tc>
        <w:tc>
          <w:tcPr>
            <w:tcW w:w="2381" w:type="dxa"/>
            <w:shd w:val="clear" w:color="auto" w:fill="auto"/>
            <w:vAlign w:val="center"/>
          </w:tcPr>
          <w:p w14:paraId="5F4BC60C">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5"/>
              </w:rPr>
              <w:t>期间核查和系统适用性检查</w:t>
            </w:r>
          </w:p>
        </w:tc>
      </w:tr>
    </w:tbl>
    <w:p w14:paraId="3FC51AB4">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8 试样要求</w:t>
      </w:r>
    </w:p>
    <w:p w14:paraId="36FCED09">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YY/T 1702-2020密度试验使用完成硬度、夹杂物和孔隙率试验后的6个试样。6个试样应具有唯一编号，并与打印方向、材料批号、热处理记录、前序试验记录及检测报告保持对应。</w:t>
      </w:r>
      <w:r>
        <w:rPr>
          <w:rFonts w:hint="eastAsia" w:ascii="宋体" w:hAnsi="宋体" w:eastAsia="宋体" w:cs="宋体"/>
          <w:color w:val="auto"/>
          <w:sz w:val="21"/>
          <w:lang w:val="en-US" w:eastAsia="zh-CN"/>
        </w:rPr>
      </w:r>
      <w:r>
        <w:rPr>
          <w:rFonts w:hint="eastAsia" w:ascii="宋体" w:hAnsi="宋体" w:eastAsia="宋体" w:cs="宋体"/>
          <w:color w:val="auto"/>
          <w:sz w:val="21"/>
        </w:rPr>
      </w:r>
      <w:r>
        <w:rPr>
          <w:rFonts w:hint="eastAsia" w:ascii="宋体" w:hAnsi="宋体" w:eastAsia="宋体" w:cs="宋体"/>
          <w:color w:val="auto"/>
          <w:sz w:val="21"/>
          <w:lang w:val="en-US" w:eastAsia="zh-CN"/>
        </w:rPr>
      </w:r>
      <w:r>
        <w:rPr>
          <w:rFonts w:hint="eastAsia" w:ascii="宋体" w:hAnsi="宋体" w:eastAsia="宋体" w:cs="宋体"/>
          <w:color w:val="auto"/>
          <w:sz w:val="21"/>
        </w:rPr>
      </w:r>
    </w:p>
    <w:p w14:paraId="61FF61D6">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试样不得存在影响密度测量的松散残留物、油污或附着物。前序试验造成明显材料缺失、开裂、断裂、夹持物残留或无法完全浸没时，应由技术负责人评估是否仍适用。</w:t>
      </w:r>
    </w:p>
    <w:p w14:paraId="33BC128E">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不规则形状试样按本规程静水称量法测定。规则形状试样原则上也可通过尺寸和质量计算密度，但本规程统一采用静水称量自动计算法，以减少不同方法引入的差异。</w:t>
      </w:r>
    </w:p>
    <w:p w14:paraId="51E47F4A">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9 试验前准备和确认</w:t>
      </w:r>
    </w:p>
    <w:p w14:paraId="08F404ED">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9.1 资料与样品核对</w:t>
      </w:r>
    </w:p>
    <w:p w14:paraId="08C3C4BD">
      <w:pPr>
        <w:pStyle w:val="14"/>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核对委托单、样品名称、样品编号、材料类别、批号、打印方向、热处理状态、样品数量及检测依据。</w:t>
      </w:r>
    </w:p>
    <w:p w14:paraId="2F399984">
      <w:pPr>
        <w:pStyle w:val="14"/>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确认包装随附文件、产品说明书、材质证明或制造商声明中给出的密度标示值，并记录其来源、文件编号和单位。未提供声明密度时，只报告实测结果，不进行符合性判定。</w:t>
      </w:r>
    </w:p>
    <w:p w14:paraId="1AAEF85E">
      <w:pPr>
        <w:pStyle w:val="14"/>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确认6个试样均来自同批次，并已完成YY/T 1702-2020规定的前序试验。</w:t>
      </w:r>
      <w:r>
        <w:rPr>
          <w:rFonts w:hint="eastAsia" w:ascii="宋体" w:hAnsi="宋体" w:eastAsia="宋体" w:cs="宋体"/>
          <w:color w:val="auto"/>
          <w:sz w:val="21"/>
          <w:lang w:val="en-US" w:eastAsia="zh-CN"/>
        </w:rPr>
      </w:r>
      <w:r>
        <w:rPr>
          <w:rFonts w:hint="eastAsia" w:ascii="宋体" w:hAnsi="宋体" w:eastAsia="宋体" w:cs="宋体"/>
          <w:color w:val="auto"/>
          <w:sz w:val="21"/>
        </w:rPr>
      </w:r>
    </w:p>
    <w:p w14:paraId="59D07EC0">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9.2 天平和密度组件确认</w:t>
      </w:r>
    </w:p>
    <w:p w14:paraId="039ADE49">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检查天平校准状态标识、外部校准有效期和日常使用记录。</w:t>
      </w:r>
    </w:p>
    <w:p w14:paraId="7D7C6C50">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按制造商说明书安装密度组件，确认吊篮/称量盘、悬挂丝和烧杯互不接触，天平水平泡居中。</w:t>
      </w:r>
    </w:p>
    <w:p w14:paraId="3FB9387E">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接通电源并按说明书预热；无明确要求时，建议预热不少于30 min。</w:t>
      </w:r>
    </w:p>
    <w:p w14:paraId="1DEB1F60">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检查天平零点稳定性、显示、按键、密度程序、数据保存/打印和通讯功能。</w:t>
      </w:r>
    </w:p>
    <w:p w14:paraId="000434AF">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执行内校准并记录校准日期、时间、结果和操作人员。内校准失败、报警或零点持续漂移时不得开始试验。</w:t>
      </w:r>
    </w:p>
    <w:p w14:paraId="1A524167">
      <w:pPr>
        <w:pStyle w:val="14"/>
        <w:pageBreakBefore w:val="0"/>
        <w:widowControl/>
        <w:numPr>
          <w:ilvl w:val="0"/>
          <w:numId w:val="7"/>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内校准后，建议用已知密度核查样或标准物质进行系统核查；结果应在实验室建立的控制限内。</w:t>
      </w:r>
    </w:p>
    <w:p w14:paraId="0DB0D8C8">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9.3 水和温度准备</w:t>
      </w:r>
    </w:p>
    <w:p w14:paraId="704ED567">
      <w:pPr>
        <w:pStyle w:val="14"/>
        <w:pageBreakBefore w:val="0"/>
        <w:widowControl/>
        <w:numPr>
          <w:ilvl w:val="0"/>
          <w:numId w:val="8"/>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清洁烧杯和浸没组件，加入足量</w:t>
      </w:r>
      <w:r>
        <w:rPr>
          <w:rFonts w:hint="eastAsia" w:ascii="宋体" w:hAnsi="宋体" w:eastAsia="宋体" w:cs="宋体"/>
          <w:color w:val="auto"/>
          <w:sz w:val="21"/>
          <w:lang w:val="en-US" w:eastAsia="zh-CN"/>
        </w:rPr>
        <w:t>蒸馏水</w:t>
      </w:r>
      <w:r>
        <w:rPr>
          <w:rFonts w:hint="eastAsia" w:ascii="宋体" w:hAnsi="宋体" w:eastAsia="宋体" w:cs="宋体"/>
          <w:color w:val="auto"/>
          <w:sz w:val="21"/>
        </w:rPr>
        <w:t>水，使试样称量时能够完全浸没且不接触水面、杯底和杯壁。</w:t>
      </w:r>
    </w:p>
    <w:p w14:paraId="03263754">
      <w:pPr>
        <w:pStyle w:val="14"/>
        <w:pageBreakBefore w:val="0"/>
        <w:widowControl/>
        <w:numPr>
          <w:ilvl w:val="0"/>
          <w:numId w:val="8"/>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水中不得有明显悬浮物、油膜或大量气泡。必要时可将水静置或采用经确认的脱气方式；未经方法确认不得加入润湿剂或表面活性剂。</w:t>
      </w:r>
    </w:p>
    <w:p w14:paraId="38093882">
      <w:pPr>
        <w:pStyle w:val="14"/>
        <w:pageBreakBefore w:val="0"/>
        <w:widowControl/>
        <w:numPr>
          <w:ilvl w:val="0"/>
          <w:numId w:val="8"/>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将温度计置于水中适当位置，避免与吊篮、试样或烧杯壁接触；水温稳定后记录至0.1℃。</w:t>
      </w:r>
    </w:p>
    <w:p w14:paraId="492546F9">
      <w:pPr>
        <w:pStyle w:val="14"/>
        <w:pageBreakBefore w:val="0"/>
        <w:widowControl/>
        <w:numPr>
          <w:ilvl w:val="0"/>
          <w:numId w:val="8"/>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在天平密度程序中选择“固体密度/静水称量”模式，液体选择“水”，输入实际水温或对应水密度。若程序自动调用水密度表，应核对温度设置正确。</w:t>
      </w:r>
    </w:p>
    <w:p w14:paraId="4B86DF7B">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 试验操作步骤</w:t>
      </w:r>
    </w:p>
    <w:p w14:paraId="515BB8DE">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10.1 试样清洗和干燥</w:t>
      </w:r>
    </w:p>
    <w:p w14:paraId="2D77D35E">
      <w:pPr>
        <w:pStyle w:val="14"/>
        <w:pageBreakBefore w:val="0"/>
        <w:widowControl/>
        <w:numPr>
          <w:ilvl w:val="0"/>
          <w:numId w:val="9"/>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将试样浸入分析纯乙醇中，超声清洗（2±0.1）min。</w:t>
      </w:r>
    </w:p>
    <w:p w14:paraId="67D372EC">
      <w:pPr>
        <w:pStyle w:val="14"/>
        <w:pageBreakBefore w:val="0"/>
        <w:widowControl/>
        <w:numPr>
          <w:ilvl w:val="0"/>
          <w:numId w:val="9"/>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取出试样，用</w:t>
      </w:r>
      <w:r>
        <w:rPr>
          <w:rFonts w:hint="eastAsia" w:ascii="宋体" w:hAnsi="宋体" w:eastAsia="宋体" w:cs="宋体"/>
          <w:color w:val="auto"/>
          <w:sz w:val="21"/>
          <w:lang w:val="en-US" w:eastAsia="zh-CN"/>
        </w:rPr>
        <w:t>蒸馏</w:t>
      </w:r>
      <w:r>
        <w:rPr>
          <w:rFonts w:hint="eastAsia" w:ascii="宋体" w:hAnsi="宋体" w:eastAsia="宋体" w:cs="宋体"/>
          <w:color w:val="auto"/>
          <w:sz w:val="21"/>
        </w:rPr>
        <w:t>水充分冲洗，去除清洗溶剂和松散颗粒。</w:t>
      </w:r>
    </w:p>
    <w:p w14:paraId="2EE29DCB">
      <w:pPr>
        <w:pStyle w:val="14"/>
        <w:pageBreakBefore w:val="0"/>
        <w:widowControl/>
        <w:numPr>
          <w:ilvl w:val="0"/>
          <w:numId w:val="9"/>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使用无油压缩空气或经确认的洁净方式吹干试样，确认表面无可见水分、油污和残留物。</w:t>
      </w:r>
    </w:p>
    <w:p w14:paraId="5865D719">
      <w:pPr>
        <w:pStyle w:val="14"/>
        <w:pageBreakBefore w:val="0"/>
        <w:widowControl/>
        <w:numPr>
          <w:ilvl w:val="0"/>
          <w:numId w:val="9"/>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将试样置于洁净容器中冷却/平衡至室温，避免手直接接触。</w:t>
      </w:r>
    </w:p>
    <w:p w14:paraId="428AEF7D">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10.2 密度组件空载调零</w:t>
      </w:r>
    </w:p>
    <w:p w14:paraId="01801E97">
      <w:pPr>
        <w:pStyle w:val="14"/>
        <w:pageBreakBefore w:val="0"/>
        <w:widowControl/>
        <w:numPr>
          <w:ilvl w:val="0"/>
          <w:numId w:val="10"/>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将烧杯和密度组件放置到规定位置，使浸没称量盘或吊篮完全浸入水中，并确认悬挂丝和称量盘不接触烧杯。</w:t>
      </w:r>
    </w:p>
    <w:p w14:paraId="4A6F284D">
      <w:pPr>
        <w:pStyle w:val="14"/>
        <w:pageBreakBefore w:val="0"/>
        <w:widowControl/>
        <w:numPr>
          <w:ilvl w:val="0"/>
          <w:numId w:val="10"/>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轻轻晃动或用洁净软毛刷清除悬挂丝、吊篮表面的附着气泡。</w:t>
      </w:r>
    </w:p>
    <w:p w14:paraId="453E8C7B">
      <w:pPr>
        <w:pStyle w:val="14"/>
        <w:pageBreakBefore w:val="0"/>
        <w:widowControl/>
        <w:numPr>
          <w:ilvl w:val="0"/>
          <w:numId w:val="10"/>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待水面和天平示值稳定后，按天平程序要求进行去皮/归零。</w:t>
      </w:r>
    </w:p>
    <w:p w14:paraId="4FFC1660">
      <w:pPr>
        <w:pStyle w:val="14"/>
        <w:pageBreakBefore w:val="0"/>
        <w:widowControl/>
        <w:numPr>
          <w:ilvl w:val="0"/>
          <w:numId w:val="10"/>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记录水温、液体类型、密度组件编号和调零状态。</w:t>
      </w:r>
    </w:p>
    <w:p w14:paraId="0B987F6B">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10.3 空气中质量测定</w:t>
      </w:r>
    </w:p>
    <w:p w14:paraId="365053FC">
      <w:pPr>
        <w:pStyle w:val="14"/>
        <w:pageBreakBefore w:val="0"/>
        <w:widowControl/>
        <w:numPr>
          <w:ilvl w:val="0"/>
          <w:numId w:val="11"/>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核对试样编号，将干燥试样放置在空气称量盘中央，不得接触支架或其他部件。</w:t>
      </w:r>
    </w:p>
    <w:p w14:paraId="696BB0B3">
      <w:pPr>
        <w:pStyle w:val="14"/>
        <w:pageBreakBefore w:val="0"/>
        <w:widowControl/>
        <w:numPr>
          <w:ilvl w:val="0"/>
          <w:numId w:val="11"/>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关闭防风罩或采取防气流措施，等待稳定标志出现。</w:t>
      </w:r>
    </w:p>
    <w:p w14:paraId="0CA81E8A">
      <w:pPr>
        <w:pStyle w:val="14"/>
        <w:pageBreakBefore w:val="0"/>
        <w:widowControl/>
        <w:numPr>
          <w:ilvl w:val="0"/>
          <w:numId w:val="11"/>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确认示值稳定后，由天平密度程序采集空气中质量A；记录A值或保存打印件/截图。</w:t>
      </w:r>
    </w:p>
    <w:p w14:paraId="792438C2">
      <w:pPr>
        <w:pStyle w:val="14"/>
        <w:pageBreakBefore w:val="0"/>
        <w:widowControl/>
        <w:numPr>
          <w:ilvl w:val="0"/>
          <w:numId w:val="11"/>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取下试样时使用洁净镊子，不得用手直接接触。</w:t>
      </w:r>
    </w:p>
    <w:p w14:paraId="0C09B256">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10.4 水中表观质量测定与自动计算</w:t>
      </w:r>
    </w:p>
    <w:p w14:paraId="30A4AFC1">
      <w:pPr>
        <w:pStyle w:val="14"/>
        <w:pageBreakBefore w:val="0"/>
        <w:widowControl/>
        <w:numPr>
          <w:ilvl w:val="0"/>
          <w:numId w:val="12"/>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将试样放入浸没称量盘或吊篮中，使试样完全浸没。试样不得接触杯壁、杯底、温度计或支架。</w:t>
      </w:r>
    </w:p>
    <w:p w14:paraId="58091360">
      <w:pPr>
        <w:pStyle w:val="14"/>
        <w:pageBreakBefore w:val="0"/>
        <w:widowControl/>
        <w:numPr>
          <w:ilvl w:val="0"/>
          <w:numId w:val="12"/>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检查试样、吊篮、悬挂丝和孔隙处是否附着气泡。可轻轻晃动吊篮、改变试样方向或用洁净软毛刷排泡，操作不得造成试样丢失或碰撞。</w:t>
      </w:r>
    </w:p>
    <w:p w14:paraId="42A75453">
      <w:pPr>
        <w:pStyle w:val="14"/>
        <w:pageBreakBefore w:val="0"/>
        <w:widowControl/>
        <w:numPr>
          <w:ilvl w:val="0"/>
          <w:numId w:val="12"/>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气泡排除后，等待水面静止和稳定标志出现，由天平密度程序采集水中表观质量B并自动计算密度ρ。</w:t>
      </w:r>
    </w:p>
    <w:p w14:paraId="0BBE38CA">
      <w:pPr>
        <w:pStyle w:val="14"/>
        <w:pageBreakBefore w:val="0"/>
        <w:widowControl/>
        <w:numPr>
          <w:ilvl w:val="0"/>
          <w:numId w:val="12"/>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记录A、B、实际水温、程序采用的水密度和自动计算密度；保存电子数据、打印件或屏幕照片。</w:t>
      </w:r>
    </w:p>
    <w:p w14:paraId="6DAC25B1">
      <w:pPr>
        <w:pStyle w:val="14"/>
        <w:pageBreakBefore w:val="0"/>
        <w:widowControl/>
        <w:numPr>
          <w:ilvl w:val="0"/>
          <w:numId w:val="12"/>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若结果显示异常、示值跳动、样品漂浮、气泡无法排除或试样发生接触，应取消本次结果，重新调零并复测。</w:t>
      </w:r>
    </w:p>
    <w:p w14:paraId="46120D2C">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10.5 重复测量和下一试样</w:t>
      </w:r>
    </w:p>
    <w:p w14:paraId="010090F4">
      <w:pPr>
        <w:pStyle w:val="14"/>
        <w:pageBreakBefore w:val="0"/>
        <w:widowControl/>
        <w:numPr>
          <w:ilvl w:val="0"/>
          <w:numId w:val="13"/>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每个试样至少完成2次独立测量。第二次测量前应将试样从水中取出、擦去明显挂水并重新进行空气中称量和水中称量，不得直接复制前次数据。</w:t>
      </w:r>
    </w:p>
    <w:p w14:paraId="245F76A1">
      <w:pPr>
        <w:pStyle w:val="14"/>
        <w:pageBreakBefore w:val="0"/>
        <w:widowControl/>
        <w:numPr>
          <w:ilvl w:val="0"/>
          <w:numId w:val="13"/>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同一试样两次密度结果差值建议不大于0.1 g/cm³；超过时应检查气泡、接触、调零、水温和试样状态，并至少再测1次。由技术负责人或方法文件确定最终有效结果取舍规则。</w:t>
      </w:r>
    </w:p>
    <w:p w14:paraId="44EB5201">
      <w:pPr>
        <w:pStyle w:val="14"/>
        <w:pageBreakBefore w:val="0"/>
        <w:widowControl/>
        <w:numPr>
          <w:ilvl w:val="0"/>
          <w:numId w:val="13"/>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完成一个试样后，检查水质和组件状态，再按相同步骤完成其余试样。水温变化超过1℃、水被污染或液面明显变化时，应重新输入水温/水密度并重新调零。</w:t>
      </w:r>
    </w:p>
    <w:p w14:paraId="1870DCEB">
      <w:pPr>
        <w:pStyle w:val="14"/>
        <w:pageBreakBefore w:val="0"/>
        <w:widowControl/>
        <w:numPr>
          <w:ilvl w:val="0"/>
          <w:numId w:val="13"/>
        </w:numPr>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按相同条件完成6个试样的测定。</w:t>
      </w:r>
    </w:p>
    <w:p w14:paraId="1063E87B">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11 数据处理和结果判定</w:t>
      </w:r>
    </w:p>
    <w:p w14:paraId="11086501">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11.1 数据处理</w:t>
      </w:r>
    </w:p>
    <w:p w14:paraId="7823B485">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每个试样取有效平行测量结果的算术平均值作为该试样密度。</w:t>
      </w:r>
    </w:p>
    <w:p w14:paraId="501A9B1F">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分别报告6个试样的密度和6个试样的总体平均密度。</w:t>
      </w:r>
      <w:r>
        <w:rPr>
          <w:rFonts w:hint="eastAsia" w:ascii="宋体" w:hAnsi="宋体" w:eastAsia="宋体" w:cs="宋体"/>
          <w:color w:val="auto"/>
          <w:sz w:val="21"/>
          <w:lang w:val="en-US" w:eastAsia="zh-CN"/>
        </w:rPr>
      </w:r>
      <w:r>
        <w:rPr>
          <w:rFonts w:hint="eastAsia" w:ascii="宋体" w:hAnsi="宋体" w:eastAsia="宋体" w:cs="宋体"/>
          <w:color w:val="auto"/>
          <w:sz w:val="21"/>
        </w:rPr>
      </w:r>
      <w:r>
        <w:rPr>
          <w:rFonts w:hint="eastAsia" w:ascii="宋体" w:hAnsi="宋体" w:eastAsia="宋体" w:cs="宋体"/>
          <w:color w:val="auto"/>
          <w:sz w:val="21"/>
          <w:lang w:val="en-US" w:eastAsia="zh-CN"/>
        </w:rPr>
      </w:r>
      <w:r>
        <w:rPr>
          <w:rFonts w:hint="eastAsia" w:ascii="宋体" w:hAnsi="宋体" w:eastAsia="宋体" w:cs="宋体"/>
          <w:color w:val="auto"/>
          <w:sz w:val="21"/>
        </w:rPr>
      </w:r>
    </w:p>
    <w:p w14:paraId="04531AE3">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单个密度结果和总体平均值按GB 17168-2013要求修约至0.1 g/cm³；原始称量数据应保留天平实际显示位数，不得提前修约。</w:t>
      </w:r>
    </w:p>
    <w:p w14:paraId="4DCDD948">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自动计算结果应与天平记录中的A、B、水温和水密度一一对应。必要时按公式复算，复算差异应仅来自显示位数或空气浮力修正。</w:t>
      </w:r>
    </w:p>
    <w:p w14:paraId="37698324">
      <w:pPr>
        <w:pStyle w:val="4"/>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11.</w:t>
      </w:r>
      <w:r>
        <w:rPr>
          <w:rFonts w:hint="eastAsia" w:ascii="宋体" w:hAnsi="宋体" w:eastAsia="宋体" w:cs="宋体"/>
          <w:color w:val="auto"/>
          <w:lang w:val="en-US" w:eastAsia="zh-CN"/>
        </w:rPr>
        <w:t>2</w:t>
      </w:r>
      <w:r>
        <w:rPr>
          <w:rFonts w:hint="eastAsia" w:ascii="宋体" w:hAnsi="宋体" w:eastAsia="宋体" w:cs="宋体"/>
          <w:color w:val="auto"/>
        </w:rPr>
        <w:t>判定原则</w:t>
      </w:r>
    </w:p>
    <w:p w14:paraId="1CB8603D">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当制造商包装随附文件、产品说明书或材质证明提供密度标示值时，每个试样的实测密度与标示值的偏差均不应超过±5%；YY/T 1702-2020要求6个试样均符合密度要求。</w:t>
      </w:r>
      <w:r>
        <w:rPr>
          <w:rFonts w:hint="eastAsia" w:ascii="宋体" w:hAnsi="宋体" w:eastAsia="宋体" w:cs="宋体"/>
          <w:color w:val="auto"/>
          <w:sz w:val="21"/>
          <w:lang w:val="en-US" w:eastAsia="zh-CN"/>
        </w:rPr>
      </w:r>
      <w:r>
        <w:rPr>
          <w:rFonts w:hint="eastAsia" w:ascii="宋体" w:hAnsi="宋体" w:eastAsia="宋体" w:cs="宋体"/>
          <w:color w:val="auto"/>
          <w:sz w:val="21"/>
        </w:rPr>
      </w:r>
    </w:p>
    <w:p w14:paraId="69B01DC8">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lang w:val="en-US" w:eastAsia="zh-CN"/>
        </w:rPr>
        <w:t>6个试样全部符合时，密度项目判定为符合；任一试样不符合时，按不符合工作控制程序进行技术评审，不得擅自删除异常数据或仅以总体平均值代替单个结果判定。</w:t>
      </w:r>
      <w:r>
        <w:rPr>
          <w:rFonts w:hint="eastAsia" w:ascii="宋体" w:hAnsi="宋体" w:eastAsia="宋体" w:cs="宋体"/>
          <w:color w:val="auto"/>
          <w:sz w:val="21"/>
        </w:rPr>
      </w:r>
    </w:p>
    <w:p w14:paraId="1FBD390D">
      <w:pPr>
        <w:pStyle w:val="16"/>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r>
        <w:rPr>
          <w:rFonts w:hint="eastAsia" w:ascii="宋体" w:hAnsi="宋体" w:eastAsia="宋体" w:cs="宋体"/>
          <w:color w:val="auto"/>
          <w:sz w:val="21"/>
        </w:rPr>
        <w:t>未提供有效声明密度、声明值来源无法追溯或项目不在资质认定能力范围内时，报告仅给出实测结果，不作符合性判定，并说明原因。</w:t>
      </w:r>
    </w:p>
    <w:p w14:paraId="122865A4">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12 质量控制要求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37"/>
        <w:gridCol w:w="5376"/>
        <w:gridCol w:w="2924"/>
      </w:tblGrid>
      <w:tr w14:paraId="7BD9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jc w:val="center"/>
        </w:trPr>
        <w:tc>
          <w:tcPr>
            <w:tcW w:w="1437" w:type="dxa"/>
            <w:shd w:val="clear" w:color="auto" w:fill="auto"/>
            <w:vAlign w:val="center"/>
          </w:tcPr>
          <w:p w14:paraId="658780D9">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6"/>
              </w:rPr>
              <w:t>控制环节</w:t>
            </w:r>
          </w:p>
        </w:tc>
        <w:tc>
          <w:tcPr>
            <w:tcW w:w="5376" w:type="dxa"/>
            <w:shd w:val="clear" w:color="auto" w:fill="auto"/>
            <w:vAlign w:val="center"/>
          </w:tcPr>
          <w:p w14:paraId="298F1DF3">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6"/>
              </w:rPr>
              <w:t>控制要求</w:t>
            </w:r>
          </w:p>
        </w:tc>
        <w:tc>
          <w:tcPr>
            <w:tcW w:w="2924" w:type="dxa"/>
            <w:shd w:val="clear" w:color="auto" w:fill="auto"/>
            <w:vAlign w:val="center"/>
          </w:tcPr>
          <w:p w14:paraId="1C7488D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6"/>
              </w:rPr>
              <w:t>记录/证据</w:t>
            </w:r>
          </w:p>
        </w:tc>
      </w:tr>
      <w:tr w14:paraId="1A79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shd w:val="clear" w:color="auto" w:fill="auto"/>
            <w:vAlign w:val="center"/>
          </w:tcPr>
          <w:p w14:paraId="05DA0BE8">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计量溯源</w:t>
            </w:r>
          </w:p>
        </w:tc>
        <w:tc>
          <w:tcPr>
            <w:tcW w:w="5376" w:type="dxa"/>
            <w:shd w:val="clear" w:color="auto" w:fill="auto"/>
            <w:vAlign w:val="center"/>
          </w:tcPr>
          <w:p w14:paraId="7D8BA406">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天平、温度计应在校准有效期内；内校准不得替代外部校准。</w:t>
            </w:r>
          </w:p>
        </w:tc>
        <w:tc>
          <w:tcPr>
            <w:tcW w:w="2924" w:type="dxa"/>
            <w:shd w:val="clear" w:color="auto" w:fill="auto"/>
            <w:vAlign w:val="center"/>
          </w:tcPr>
          <w:p w14:paraId="4D214A85">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校准证书、状态标识、设备档案</w:t>
            </w:r>
          </w:p>
        </w:tc>
      </w:tr>
      <w:tr w14:paraId="79DE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7" w:type="dxa"/>
            <w:shd w:val="clear" w:color="auto" w:fill="auto"/>
            <w:vAlign w:val="center"/>
          </w:tcPr>
          <w:p w14:paraId="0F789BC4">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日常校准</w:t>
            </w:r>
          </w:p>
        </w:tc>
        <w:tc>
          <w:tcPr>
            <w:tcW w:w="5376" w:type="dxa"/>
            <w:shd w:val="clear" w:color="auto" w:fill="auto"/>
            <w:vAlign w:val="center"/>
          </w:tcPr>
          <w:p w14:paraId="795E7F82">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每批试验前进行内校准；移动设备、温度明显变化、断电重启或示值异常后重新内校准。</w:t>
            </w:r>
          </w:p>
        </w:tc>
        <w:tc>
          <w:tcPr>
            <w:tcW w:w="2924" w:type="dxa"/>
            <w:shd w:val="clear" w:color="auto" w:fill="auto"/>
            <w:vAlign w:val="center"/>
          </w:tcPr>
          <w:p w14:paraId="226329EC">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内校准记录</w:t>
            </w:r>
          </w:p>
        </w:tc>
      </w:tr>
      <w:tr w14:paraId="254B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73D61979">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系统核查</w:t>
            </w:r>
          </w:p>
        </w:tc>
        <w:tc>
          <w:tcPr>
            <w:tcW w:w="5376" w:type="dxa"/>
            <w:shd w:val="clear" w:color="auto" w:fill="auto"/>
            <w:vAlign w:val="center"/>
          </w:tcPr>
          <w:p w14:paraId="72FDE536">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使用已知密度核查样或标准物质进行定期核查，建立控制限或控制图。</w:t>
            </w:r>
          </w:p>
        </w:tc>
        <w:tc>
          <w:tcPr>
            <w:tcW w:w="2924" w:type="dxa"/>
            <w:shd w:val="clear" w:color="auto" w:fill="auto"/>
            <w:vAlign w:val="center"/>
          </w:tcPr>
          <w:p w14:paraId="2F255FAD">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期间核查记录</w:t>
            </w:r>
          </w:p>
        </w:tc>
      </w:tr>
      <w:tr w14:paraId="18BB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3666AC5D">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自动计算验证</w:t>
            </w:r>
          </w:p>
        </w:tc>
        <w:tc>
          <w:tcPr>
            <w:tcW w:w="5376" w:type="dxa"/>
            <w:shd w:val="clear" w:color="auto" w:fill="auto"/>
            <w:vAlign w:val="center"/>
          </w:tcPr>
          <w:p w14:paraId="19D61A24">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首次启用、维修、软件升级或参数改变后，用已知A、B、ρ₀数据复核自动计算结果。</w:t>
            </w:r>
          </w:p>
        </w:tc>
        <w:tc>
          <w:tcPr>
            <w:tcW w:w="2924" w:type="dxa"/>
            <w:shd w:val="clear" w:color="auto" w:fill="auto"/>
            <w:vAlign w:val="center"/>
          </w:tcPr>
          <w:p w14:paraId="035811DF">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软件/计算验证记录</w:t>
            </w:r>
          </w:p>
        </w:tc>
      </w:tr>
      <w:tr w14:paraId="329F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0A63D16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水温控制</w:t>
            </w:r>
          </w:p>
        </w:tc>
        <w:tc>
          <w:tcPr>
            <w:tcW w:w="5376" w:type="dxa"/>
            <w:shd w:val="clear" w:color="auto" w:fill="auto"/>
            <w:vAlign w:val="center"/>
          </w:tcPr>
          <w:p w14:paraId="0AA6FC5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记录实际水温并使用对应水密度；水温显著变化后重新输入和调零。</w:t>
            </w:r>
          </w:p>
        </w:tc>
        <w:tc>
          <w:tcPr>
            <w:tcW w:w="2924" w:type="dxa"/>
            <w:shd w:val="clear" w:color="auto" w:fill="auto"/>
            <w:vAlign w:val="center"/>
          </w:tcPr>
          <w:p w14:paraId="1F38F5A6">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原始记录、温度计编号</w:t>
            </w:r>
          </w:p>
        </w:tc>
      </w:tr>
      <w:tr w14:paraId="3311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509A1622">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气泡控制</w:t>
            </w:r>
          </w:p>
        </w:tc>
        <w:tc>
          <w:tcPr>
            <w:tcW w:w="5376" w:type="dxa"/>
            <w:shd w:val="clear" w:color="auto" w:fill="auto"/>
            <w:vAlign w:val="center"/>
          </w:tcPr>
          <w:p w14:paraId="7789B792">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试样及浸没组件无可见气泡；气泡无法排除的结果无效。</w:t>
            </w:r>
          </w:p>
        </w:tc>
        <w:tc>
          <w:tcPr>
            <w:tcW w:w="2924" w:type="dxa"/>
            <w:shd w:val="clear" w:color="auto" w:fill="auto"/>
            <w:vAlign w:val="center"/>
          </w:tcPr>
          <w:p w14:paraId="7319C42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操作确认、异常说明</w:t>
            </w:r>
          </w:p>
        </w:tc>
      </w:tr>
      <w:tr w14:paraId="57FF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55A4064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重复性控制</w:t>
            </w:r>
          </w:p>
        </w:tc>
        <w:tc>
          <w:tcPr>
            <w:tcW w:w="5376" w:type="dxa"/>
            <w:shd w:val="clear" w:color="auto" w:fill="auto"/>
            <w:vAlign w:val="center"/>
          </w:tcPr>
          <w:p w14:paraId="3A419E3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每个试样平行测量，超出内控差值时调查并复测。</w:t>
            </w:r>
          </w:p>
        </w:tc>
        <w:tc>
          <w:tcPr>
            <w:tcW w:w="2924" w:type="dxa"/>
            <w:shd w:val="clear" w:color="auto" w:fill="auto"/>
            <w:vAlign w:val="center"/>
          </w:tcPr>
          <w:p w14:paraId="6D90C621">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平行测量数据</w:t>
            </w:r>
          </w:p>
        </w:tc>
      </w:tr>
      <w:tr w14:paraId="7CD5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37" w:type="dxa"/>
            <w:shd w:val="clear" w:color="auto" w:fill="auto"/>
            <w:vAlign w:val="center"/>
          </w:tcPr>
          <w:p w14:paraId="6FE7D4B3">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数据完整性</w:t>
            </w:r>
          </w:p>
        </w:tc>
        <w:tc>
          <w:tcPr>
            <w:tcW w:w="5376" w:type="dxa"/>
            <w:shd w:val="clear" w:color="auto" w:fill="auto"/>
            <w:vAlign w:val="center"/>
          </w:tcPr>
          <w:p w14:paraId="24BE1997">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A、B、水温、水密度、自动密度、声明值、偏差、附件编号均可追溯。</w:t>
            </w:r>
          </w:p>
        </w:tc>
        <w:tc>
          <w:tcPr>
            <w:tcW w:w="2924" w:type="dxa"/>
            <w:shd w:val="clear" w:color="auto" w:fill="auto"/>
            <w:vAlign w:val="center"/>
          </w:tcPr>
          <w:p w14:paraId="62DE6760">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val="0"/>
                <w:color w:val="auto"/>
                <w:sz w:val="16"/>
              </w:rPr>
              <w:t>原始记录、打印件/截图/电子文件</w:t>
            </w:r>
          </w:p>
        </w:tc>
      </w:tr>
    </w:tbl>
    <w:p w14:paraId="6A041484">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13 异常、偏离与不符合工作处理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400"/>
        <w:gridCol w:w="6225"/>
      </w:tblGrid>
      <w:tr w14:paraId="62E1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blHeader/>
          <w:jc w:val="center"/>
        </w:trPr>
        <w:tc>
          <w:tcPr>
            <w:tcW w:w="3400" w:type="dxa"/>
            <w:shd w:val="clear" w:color="auto" w:fill="auto"/>
            <w:vAlign w:val="center"/>
          </w:tcPr>
          <w:p w14:paraId="4C497FD3">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6"/>
              </w:rPr>
              <w:t>异常情形</w:t>
            </w:r>
          </w:p>
        </w:tc>
        <w:tc>
          <w:tcPr>
            <w:tcW w:w="6225" w:type="dxa"/>
            <w:shd w:val="clear" w:color="auto" w:fill="auto"/>
            <w:vAlign w:val="center"/>
          </w:tcPr>
          <w:p w14:paraId="644E64EB">
            <w:pPr>
              <w:pageBreakBefore w:val="0"/>
              <w:widowControl/>
              <w:kinsoku/>
              <w:wordWrap/>
              <w:overflowPunct/>
              <w:topLinePunct w:val="0"/>
              <w:autoSpaceDE/>
              <w:autoSpaceDN/>
              <w:bidi w:val="0"/>
              <w:adjustRightInd/>
              <w:snapToGrid/>
              <w:spacing w:after="0" w:line="360" w:lineRule="auto"/>
              <w:jc w:val="center"/>
              <w:textAlignment w:val="auto"/>
              <w:rPr>
                <w:rFonts w:hint="eastAsia" w:ascii="宋体" w:hAnsi="宋体" w:eastAsia="宋体" w:cs="宋体"/>
                <w:color w:val="auto"/>
              </w:rPr>
            </w:pPr>
            <w:r>
              <w:rPr>
                <w:rFonts w:hint="eastAsia" w:ascii="宋体" w:hAnsi="宋体" w:eastAsia="宋体" w:cs="宋体"/>
                <w:b/>
                <w:color w:val="auto"/>
                <w:sz w:val="16"/>
              </w:rPr>
              <w:t>处理要求</w:t>
            </w:r>
          </w:p>
        </w:tc>
      </w:tr>
      <w:tr w14:paraId="0DC5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5C5BBEEE">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内校准失败、天平报警或零点漂移</w:t>
            </w:r>
          </w:p>
        </w:tc>
        <w:tc>
          <w:tcPr>
            <w:tcW w:w="6225" w:type="dxa"/>
            <w:shd w:val="clear" w:color="auto" w:fill="auto"/>
            <w:vAlign w:val="center"/>
          </w:tcPr>
          <w:p w14:paraId="1C82890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停止试验，检查环境和设备；通知设备管理员，处理合格后重新校准。</w:t>
            </w:r>
          </w:p>
        </w:tc>
      </w:tr>
      <w:tr w14:paraId="317C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520CEC17">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密度组件、悬挂丝或试样接触烧杯</w:t>
            </w:r>
          </w:p>
        </w:tc>
        <w:tc>
          <w:tcPr>
            <w:tcW w:w="6225" w:type="dxa"/>
            <w:shd w:val="clear" w:color="auto" w:fill="auto"/>
            <w:vAlign w:val="center"/>
          </w:tcPr>
          <w:p w14:paraId="078EDB13">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本次水中称量无效，重新安装、调零并复测。</w:t>
            </w:r>
          </w:p>
        </w:tc>
      </w:tr>
      <w:tr w14:paraId="44B6F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4044758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试样或组件表面存在气泡</w:t>
            </w:r>
          </w:p>
        </w:tc>
        <w:tc>
          <w:tcPr>
            <w:tcW w:w="6225" w:type="dxa"/>
            <w:shd w:val="clear" w:color="auto" w:fill="auto"/>
            <w:vAlign w:val="center"/>
          </w:tcPr>
          <w:p w14:paraId="45A65100">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排除气泡后重新等待稳定；无法排除时结果无效并记录。</w:t>
            </w:r>
          </w:p>
        </w:tc>
      </w:tr>
      <w:tr w14:paraId="2626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33F876F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水温输入错误或水温变化超过控制要求</w:t>
            </w:r>
          </w:p>
        </w:tc>
        <w:tc>
          <w:tcPr>
            <w:tcW w:w="6225" w:type="dxa"/>
            <w:shd w:val="clear" w:color="auto" w:fill="auto"/>
            <w:vAlign w:val="center"/>
          </w:tcPr>
          <w:p w14:paraId="1CE66140">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更正实际水温/水密度，重新调零并重新测量受影响试样。</w:t>
            </w:r>
          </w:p>
        </w:tc>
      </w:tr>
      <w:tr w14:paraId="0450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2C7E5459">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试样漂浮或不能完全浸没</w:t>
            </w:r>
          </w:p>
        </w:tc>
        <w:tc>
          <w:tcPr>
            <w:tcW w:w="6225" w:type="dxa"/>
            <w:shd w:val="clear" w:color="auto" w:fill="auto"/>
            <w:vAlign w:val="center"/>
          </w:tcPr>
          <w:p w14:paraId="1C03AF6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不得强行按压；由技术负责人评估是否更换经确认的浸没方式或判定方法不适用。</w:t>
            </w:r>
          </w:p>
        </w:tc>
      </w:tr>
      <w:tr w14:paraId="596E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039AFF3A">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平行测量差异超过内控限</w:t>
            </w:r>
          </w:p>
        </w:tc>
        <w:tc>
          <w:tcPr>
            <w:tcW w:w="6225" w:type="dxa"/>
            <w:shd w:val="clear" w:color="auto" w:fill="auto"/>
            <w:vAlign w:val="center"/>
          </w:tcPr>
          <w:p w14:paraId="0487C764">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检查清洗、气泡、接触、天平稳定性和水温；复测并保留全部原始数据。</w:t>
            </w:r>
          </w:p>
        </w:tc>
      </w:tr>
      <w:tr w14:paraId="2A99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41657AA8">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声明密度缺失或来源不清</w:t>
            </w:r>
          </w:p>
        </w:tc>
        <w:tc>
          <w:tcPr>
            <w:tcW w:w="6225" w:type="dxa"/>
            <w:shd w:val="clear" w:color="auto" w:fill="auto"/>
            <w:vAlign w:val="center"/>
          </w:tcPr>
          <w:p w14:paraId="43B926E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暂停符合性判定，联系委托方补充资料；不能补充时仅报告实测值。</w:t>
            </w:r>
          </w:p>
        </w:tc>
      </w:tr>
      <w:tr w14:paraId="4A8B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400" w:type="dxa"/>
            <w:shd w:val="clear" w:color="auto" w:fill="auto"/>
            <w:vAlign w:val="center"/>
          </w:tcPr>
          <w:p w14:paraId="574C737F">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设备超期、关键原始数据缺失或无法追溯</w:t>
            </w:r>
          </w:p>
        </w:tc>
        <w:tc>
          <w:tcPr>
            <w:tcW w:w="6225" w:type="dxa"/>
            <w:shd w:val="clear" w:color="auto" w:fill="auto"/>
            <w:vAlign w:val="center"/>
          </w:tcPr>
          <w:p w14:paraId="6AB6B6FD">
            <w:pPr>
              <w:pageBreakBefore w:val="0"/>
              <w:widowControl/>
              <w:kinsoku/>
              <w:wordWrap/>
              <w:overflowPunct/>
              <w:topLinePunct w:val="0"/>
              <w:autoSpaceDE/>
              <w:autoSpaceDN/>
              <w:bidi w:val="0"/>
              <w:adjustRightInd/>
              <w:snapToGrid/>
              <w:spacing w:after="0" w:line="360" w:lineRule="auto"/>
              <w:jc w:val="left"/>
              <w:textAlignment w:val="auto"/>
              <w:rPr>
                <w:rFonts w:hint="eastAsia" w:ascii="宋体" w:hAnsi="宋体" w:eastAsia="宋体" w:cs="宋体"/>
                <w:color w:val="auto"/>
              </w:rPr>
            </w:pPr>
            <w:r>
              <w:rPr>
                <w:rFonts w:hint="eastAsia" w:ascii="宋体" w:hAnsi="宋体" w:eastAsia="宋体" w:cs="宋体"/>
                <w:b w:val="0"/>
                <w:color w:val="auto"/>
                <w:sz w:val="16"/>
              </w:rPr>
              <w:t>启动不符合工作控制，评估已出结果影响，必要时重新检测。</w:t>
            </w:r>
          </w:p>
        </w:tc>
      </w:tr>
    </w:tbl>
    <w:p w14:paraId="5F91F310">
      <w:pPr>
        <w:pStyle w:val="3"/>
        <w:keepNext/>
        <w:pageBreakBefore w:val="0"/>
        <w:widowControl/>
        <w:kinsoku/>
        <w:wordWrap/>
        <w:overflowPunct/>
        <w:topLinePunct w:val="0"/>
        <w:autoSpaceDE/>
        <w:autoSpaceDN/>
        <w:bidi w:val="0"/>
        <w:adjustRightInd/>
        <w:snapToGrid/>
        <w:spacing w:before="0" w:after="0" w:line="360" w:lineRule="auto"/>
        <w:textAlignment w:val="auto"/>
        <w:rPr>
          <w:rFonts w:hint="eastAsia" w:ascii="宋体" w:hAnsi="宋体" w:eastAsia="宋体" w:cs="宋体"/>
          <w:color w:val="auto"/>
        </w:rPr>
      </w:pPr>
      <w:r>
        <w:rPr>
          <w:rFonts w:hint="eastAsia" w:ascii="宋体" w:hAnsi="宋体" w:eastAsia="宋体" w:cs="宋体"/>
          <w:color w:val="auto"/>
        </w:rPr>
        <w:t>14 原始记录、数据和报告要求</w:t>
      </w:r>
    </w:p>
    <w:p w14:paraId="19FFA785">
      <w:pPr>
        <w:pStyle w:val="4"/>
        <w:keepNext/>
        <w:pageBreakBefore w:val="0"/>
        <w:widowControl/>
        <w:kinsoku/>
        <w:wordWrap/>
        <w:overflowPunct/>
        <w:topLinePunct w:val="0"/>
        <w:autoSpaceDE/>
        <w:autoSpaceDN/>
        <w:bidi w:val="0"/>
        <w:adjustRightInd/>
        <w:snapToGrid/>
        <w:spacing w:before="0" w:after="0" w:line="360" w:lineRule="auto"/>
        <w:textAlignment w:val="auto"/>
        <w:rPr>
          <w:rFonts w:hint="default" w:ascii="宋体" w:hAnsi="宋体" w:eastAsia="宋体" w:cs="宋体"/>
          <w:b w:val="0"/>
          <w:bCs w:val="0"/>
          <w:color w:val="auto"/>
          <w:sz w:val="21"/>
          <w:szCs w:val="21"/>
          <w:rtl w:val="0"/>
          <w:lang w:val="en-US" w:eastAsia="zh-CN"/>
        </w:rPr>
      </w:pPr>
      <w:r>
        <w:rPr>
          <w:rFonts w:hint="eastAsia" w:ascii="宋体" w:hAnsi="宋体" w:eastAsia="宋体" w:cs="宋体"/>
          <w:b w:val="0"/>
          <w:bCs w:val="0"/>
          <w:color w:val="auto"/>
        </w:rPr>
        <w:t xml:space="preserve">14.1 </w:t>
      </w:r>
      <w:r>
        <w:rPr>
          <w:rFonts w:hint="eastAsia" w:ascii="宋体" w:hAnsi="宋体" w:eastAsia="宋体" w:cs="宋体"/>
          <w:b w:val="0"/>
          <w:bCs w:val="0"/>
          <w:color w:val="auto"/>
          <w:sz w:val="21"/>
          <w:szCs w:val="21"/>
          <w:highlight w:val="none"/>
          <w:rtl w:val="0"/>
          <w:lang w:val="en-US"/>
        </w:rPr>
        <w:t>原始记录应</w:t>
      </w:r>
      <w:r>
        <w:rPr>
          <w:rFonts w:hint="eastAsia" w:ascii="宋体" w:hAnsi="宋体" w:eastAsia="宋体" w:cs="宋体"/>
          <w:b w:val="0"/>
          <w:bCs w:val="0"/>
          <w:color w:val="auto"/>
          <w:sz w:val="21"/>
          <w:szCs w:val="21"/>
          <w:rtl w:val="0"/>
          <w:lang w:val="en-US"/>
        </w:rPr>
        <w:t>真实、准确、清晰、完整，不得随意涂改；确需修改时，应保留原始内容并签名注明日期和原因。原始记录至少应包括委托单位、样品名称、样品编号、检测依据、主要设备、试验条件、结果数据、判定依据、结论、检测日期、检测人员、复核人员和授权签字人</w:t>
      </w:r>
      <w:r>
        <w:rPr>
          <w:rFonts w:hint="eastAsia" w:ascii="宋体" w:hAnsi="宋体" w:eastAsia="宋体" w:cs="宋体"/>
          <w:b w:val="0"/>
          <w:bCs w:val="0"/>
          <w:color w:val="auto"/>
          <w:sz w:val="21"/>
          <w:szCs w:val="21"/>
          <w:rtl w:val="0"/>
          <w:lang w:val="en-US" w:eastAsia="zh-CN"/>
        </w:rPr>
        <w:t>等必要信息。原始记录见《</w:t>
      </w:r>
      <w:r>
        <w:rPr>
          <w:rFonts w:hint="eastAsia" w:ascii="宋体" w:hAnsi="宋体" w:eastAsia="宋体" w:cs="宋体"/>
          <w:b w:val="0"/>
          <w:bCs w:val="0"/>
          <w:color w:val="auto"/>
          <w:sz w:val="21"/>
          <w:szCs w:val="21"/>
        </w:rPr>
        <w:t>激光选区熔化金属材料密度试验原始记录表</w:t>
      </w:r>
      <w:r>
        <w:rPr>
          <w:rFonts w:hint="eastAsia" w:ascii="宋体" w:hAnsi="宋体" w:eastAsia="宋体" w:cs="宋体"/>
          <w:b w:val="0"/>
          <w:bCs w:val="0"/>
          <w:color w:val="auto"/>
          <w:sz w:val="21"/>
          <w:szCs w:val="21"/>
          <w:rtl w:val="0"/>
          <w:lang w:val="en-US" w:eastAsia="zh-CN"/>
        </w:rPr>
        <w:t>》</w:t>
      </w:r>
    </w:p>
    <w:p w14:paraId="7B6E5F0F">
      <w:pPr>
        <w:pStyle w:val="167"/>
        <w:pageBreakBefore w:val="0"/>
        <w:framePr w:wrap="auto" w:vAnchor="margin" w:hAnchor="text" w:yAlign="inline"/>
        <w:widowControl w:val="0"/>
        <w:wordWrap/>
        <w:topLinePunct w:val="0"/>
        <w:bidi w:val="0"/>
        <w:adjustRightInd/>
        <w:snapToGrid/>
        <w:spacing w:before="0" w:after="0"/>
        <w:textAlignment w:val="auto"/>
        <w:rPr>
          <w:rFonts w:hint="eastAsia" w:ascii="宋体" w:hAnsi="宋体" w:eastAsia="宋体" w:cs="宋体"/>
          <w:color w:val="auto"/>
          <w:sz w:val="21"/>
          <w:szCs w:val="21"/>
          <w:rtl w:val="0"/>
          <w:lang w:val="en-US" w:eastAsia="zh-CN"/>
        </w:rPr>
      </w:pPr>
      <w:r>
        <w:rPr>
          <w:rFonts w:hint="eastAsia" w:ascii="宋体" w:hAnsi="宋体" w:eastAsia="宋体" w:cs="宋体"/>
          <w:color w:val="auto"/>
        </w:rPr>
        <w:t xml:space="preserve">14.2 </w:t>
      </w:r>
      <w:r>
        <w:rPr>
          <w:rFonts w:hint="eastAsia" w:ascii="宋体" w:hAnsi="宋体" w:eastAsia="宋体" w:cs="宋体"/>
          <w:color w:val="auto"/>
          <w:sz w:val="21"/>
          <w:szCs w:val="21"/>
          <w:rtl w:val="0"/>
          <w:lang w:val="en-US"/>
        </w:rPr>
        <w:t>报告应</w:t>
      </w:r>
      <w:r>
        <w:rPr>
          <w:rFonts w:hint="eastAsia" w:ascii="宋体" w:hAnsi="宋体" w:eastAsia="宋体" w:cs="宋体"/>
          <w:color w:val="auto"/>
          <w:sz w:val="21"/>
          <w:szCs w:val="21"/>
          <w:rtl w:val="0"/>
          <w:lang w:val="en-US" w:eastAsia="zh-CN"/>
        </w:rPr>
        <w:t>与原始记录的信息保持一致</w:t>
      </w:r>
      <w:r>
        <w:rPr>
          <w:rFonts w:hint="eastAsia" w:ascii="宋体" w:hAnsi="宋体" w:eastAsia="宋体" w:cs="宋体"/>
          <w:color w:val="auto"/>
          <w:sz w:val="21"/>
          <w:szCs w:val="21"/>
          <w:rtl w:val="0"/>
          <w:lang w:val="en-US"/>
        </w:rPr>
        <w:t>。</w:t>
      </w:r>
      <w:r>
        <w:rPr>
          <w:rFonts w:hint="eastAsia" w:ascii="宋体" w:hAnsi="宋体" w:eastAsia="宋体" w:cs="宋体"/>
          <w:color w:val="auto"/>
          <w:sz w:val="21"/>
          <w:szCs w:val="21"/>
          <w:rtl w:val="0"/>
          <w:lang w:val="en-US" w:eastAsia="zh-CN"/>
        </w:rPr>
        <w:t>报告格式见DLBP-CX-P08-R03 检验报告。</w:t>
      </w:r>
    </w:p>
    <w:p w14:paraId="49D8D054">
      <w:pPr>
        <w:pageBreakBefore w:val="0"/>
        <w:widowControl/>
        <w:kinsoku/>
        <w:wordWrap/>
        <w:overflowPunct/>
        <w:topLinePunct w:val="0"/>
        <w:autoSpaceDE/>
        <w:autoSpaceDN/>
        <w:bidi w:val="0"/>
        <w:adjustRightInd/>
        <w:snapToGrid/>
        <w:spacing w:after="0" w:line="360" w:lineRule="auto"/>
        <w:textAlignment w:val="auto"/>
        <w:rPr>
          <w:rFonts w:hint="eastAsia" w:ascii="宋体" w:hAnsi="宋体" w:eastAsia="宋体" w:cs="宋体"/>
          <w:color w:val="auto"/>
        </w:rPr>
      </w:pPr>
      <w:bookmarkStart w:id="1" w:name="_GoBack"/>
      <w:bookmarkEnd w:id="1"/>
    </w:p>
    <w:sectPr>
      <w:headerReference r:id="rId5" w:type="default"/>
      <w:footerReference r:id="rId6" w:type="default"/>
      <w:pgSz w:w="12240" w:h="15840"/>
      <w:pgMar w:top="1020" w:right="1020" w:bottom="1020" w:left="1020" w:header="454" w:footer="454"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PingFang SC Regular">
    <w:altName w:val="宋体"/>
    <w:panose1 w:val="020B0400000000000000"/>
    <w:charset w:val="86"/>
    <w:family w:val="roman"/>
    <w:pitch w:val="default"/>
    <w:sig w:usb0="00000000" w:usb1="00000000" w:usb2="00000017"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Aptos Display">
    <w:altName w:val="Segoe U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393E1">
    <w:pPr>
      <w:pStyle w:val="24"/>
      <w:jc w:val="righ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EE26A">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DDEE26A">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v:shape>
          </w:pict>
        </mc:Fallback>
      </mc:AlternateContent>
    </w:r>
    <w:r>
      <w:rPr>
        <w:rFonts w:hint="eastAsia" w:ascii="黑体" w:hAnsi="黑体" w:eastAsia="黑体" w:cs="黑体"/>
        <w:sz w:val="24"/>
        <w:szCs w:val="24"/>
        <w:lang w:val="en-US" w:eastAsia="zh-CN"/>
      </w:rPr>
      <w:t>DLBP-SOP-016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D3AD7">
    <w:pPr>
      <w:pStyle w:val="165"/>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78AC3A"/>
    <w:rsid w:val="33F771D4"/>
    <w:rsid w:val="403102E6"/>
    <w:rsid w:val="50481E2B"/>
    <w:rsid w:val="6FF01C1E"/>
    <w:rsid w:val="7C3CF113"/>
    <w:rsid w:val="AFFB22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88"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7365D"/>
      <w:sz w:val="28"/>
      <w:szCs w:val="28"/>
    </w:rPr>
  </w:style>
  <w:style w:type="paragraph" w:styleId="4">
    <w:name w:val="heading 2"/>
    <w:basedOn w:val="1"/>
    <w:next w:val="1"/>
    <w:link w:val="139"/>
    <w:unhideWhenUsed/>
    <w:qFormat/>
    <w:uiPriority w:val="9"/>
    <w:pPr>
      <w:keepNext/>
      <w:keepLines/>
      <w:spacing w:before="100" w:after="80"/>
      <w:outlineLvl w:val="1"/>
    </w:pPr>
    <w:rPr>
      <w:rFonts w:asciiTheme="majorHAnsi" w:hAnsiTheme="majorHAnsi" w:eastAsiaTheme="majorEastAsia" w:cstheme="majorBidi"/>
      <w:b/>
      <w:bCs/>
      <w:color w:val="1F4E79"/>
      <w:sz w:val="24"/>
      <w:szCs w:val="26"/>
    </w:rPr>
  </w:style>
  <w:style w:type="paragraph" w:styleId="5">
    <w:name w:val="heading 3"/>
    <w:basedOn w:val="1"/>
    <w:next w:val="1"/>
    <w:link w:val="140"/>
    <w:unhideWhenUsed/>
    <w:qFormat/>
    <w:uiPriority w:val="9"/>
    <w:pPr>
      <w:keepNext/>
      <w:keepLines/>
      <w:spacing w:before="100" w:after="80"/>
      <w:outlineLvl w:val="2"/>
    </w:pPr>
    <w:rPr>
      <w:rFonts w:asciiTheme="majorHAnsi" w:hAnsiTheme="majorHAnsi" w:eastAsiaTheme="majorEastAsia" w:cstheme="majorBidi"/>
      <w:b/>
      <w:bCs/>
      <w:color w:val="2F5597"/>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BodyTextCN"/>
    <w:qFormat/>
    <w:uiPriority w:val="0"/>
    <w:pPr>
      <w:spacing w:after="60" w:line="300" w:lineRule="auto"/>
      <w:ind w:firstLine="420"/>
    </w:pPr>
    <w:rPr>
      <w:rFonts w:ascii="宋体" w:hAnsi="宋体" w:eastAsia="宋体" w:cstheme="minorBidi"/>
      <w:sz w:val="21"/>
      <w:szCs w:val="22"/>
      <w:lang w:val="en-US" w:eastAsia="en-US" w:bidi="ar-SA"/>
    </w:rPr>
  </w:style>
  <w:style w:type="paragraph" w:customStyle="1" w:styleId="165">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66">
    <w:name w:val="小标题"/>
    <w:next w:val="167"/>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60" w:beforeAutospacing="0" w:after="80" w:afterAutospacing="0" w:line="240" w:lineRule="auto"/>
      <w:ind w:left="0" w:right="0" w:firstLine="0"/>
      <w:jc w:val="left"/>
      <w:outlineLvl w:val="0"/>
    </w:pPr>
    <w:rPr>
      <w:rFonts w:ascii="Aptos Display" w:hAnsi="Aptos Display" w:eastAsia="Aptos Display" w:cs="Aptos Display"/>
      <w:color w:val="0F4761"/>
      <w:spacing w:val="0"/>
      <w:w w:val="100"/>
      <w:kern w:val="0"/>
      <w:position w:val="0"/>
      <w:sz w:val="40"/>
      <w:szCs w:val="40"/>
      <w:u w:val="none" w:color="0F4761"/>
      <w:shd w:val="clear" w:color="auto" w:fill="auto"/>
      <w:vertAlign w:val="baseline"/>
    </w:rPr>
  </w:style>
  <w:style w:type="paragraph" w:customStyle="1" w:styleId="167">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40" w:lineRule="auto"/>
      <w:ind w:left="0" w:right="0" w:firstLine="0"/>
      <w:jc w:val="left"/>
      <w:outlineLvl w:val="9"/>
    </w:pPr>
    <w:rPr>
      <w:rFonts w:ascii="Aptos" w:hAnsi="Aptos" w:eastAsia="Aptos" w:cs="Aptos"/>
      <w:color w:val="000000"/>
      <w:spacing w:val="0"/>
      <w:w w:val="100"/>
      <w:kern w:val="0"/>
      <w:position w:val="0"/>
      <w:sz w:val="24"/>
      <w:szCs w:val="24"/>
      <w:u w:val="none" w:color="000000"/>
      <w:shd w:val="clear" w:color="auto" w:fill="auto"/>
      <w:vertAlign w:val="baseline"/>
    </w:rPr>
  </w:style>
  <w:style w:type="paragraph" w:customStyle="1" w:styleId="168">
    <w:name w:val="Compact"/>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6" w:beforeAutospacing="0" w:after="36" w:afterAutospacing="0" w:line="240" w:lineRule="auto"/>
      <w:ind w:left="0" w:right="0" w:firstLine="0"/>
      <w:jc w:val="left"/>
      <w:outlineLvl w:val="9"/>
    </w:pPr>
    <w:rPr>
      <w:rFonts w:ascii="Aptos" w:hAnsi="Aptos" w:eastAsia="Aptos" w:cs="Aptos"/>
      <w:color w:val="000000"/>
      <w:spacing w:val="0"/>
      <w:w w:val="100"/>
      <w:kern w:val="0"/>
      <w:position w:val="0"/>
      <w:sz w:val="24"/>
      <w:szCs w:val="24"/>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1614</Words>
  <Characters>1780</Characters>
  <Lines>0</Lines>
  <Paragraphs>0</Paragraphs>
  <TotalTime>0</TotalTime>
  <ScaleCrop>false</ScaleCrop>
  <LinksUpToDate>false</LinksUpToDate>
  <CharactersWithSpaces>1812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大连标普检测有限公司</dc:creator>
  <dc:description>generated by python-docx</dc:description>
  <cp:keywords>YY/T 1702-2020, 密度, CMA, 内校准天平, 静水称量</cp:keywords>
  <cp:lastModifiedBy>WPS_1686482671</cp:lastModifiedBy>
  <dcterms:modified xsi:type="dcterms:W3CDTF">2026-08-10T04:10:17Z</dcterms:modified>
  <dc:subject>YY/T 1702-2020 密度试验 CMA SOP</dc:subject>
  <dc:title>激光选区熔化金属材料密度试验标准操作规程（内校准自动计算天平法）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788A0C9292AA0489F8C45D6AE25214DF_42</vt:lpwstr>
  </property>
  <property fmtid="{D5CDD505-2E9C-101B-9397-08002B2CF9AE}" pid="4" name="KSOTemplateDocerSaveRecord">
    <vt:lpwstr>eyJoZGlkIjoiZjBmNWVmY2ZjYTc5NWVjZDFhYmYzOTFiM2UwZTJmZDIiLCJ1c2VySWQiOiIxNDk5MTc3ODQ1In0=</vt:lpwstr>
  </property>
</Properties>
</file>