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81F9A">
      <w:pPr>
        <w:jc w:val="center"/>
        <w:rPr>
          <w:rFonts w:hint="eastAsia" w:eastAsia="宋体" w:cs="宋体"/>
          <w:b/>
          <w:color w:val="auto"/>
          <w:sz w:val="4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金属材料抗晦暗性能试验</w:t>
      </w:r>
      <w:r>
        <w:rPr>
          <w:rFonts w:hint="eastAsia" w:eastAsia="宋体" w:cs="宋体"/>
          <w:b/>
          <w:color w:val="auto"/>
          <w:sz w:val="44"/>
          <w:lang w:val="en-US" w:eastAsia="zh-CN"/>
        </w:rPr>
        <w:t>作业指导书</w:t>
      </w:r>
    </w:p>
    <w:p w14:paraId="5EDB2FD6">
      <w:pPr>
        <w:pStyle w:val="164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32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165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164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32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387"/>
        <w:gridCol w:w="1783"/>
        <w:gridCol w:w="2085"/>
      </w:tblGrid>
      <w:tr w14:paraId="66D9ED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1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3FF5">
            <w:pPr>
              <w:pStyle w:val="165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建立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</w:rPr>
              <w:t>金属材料抗晦暗性能试验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作业指导书。</w:t>
            </w: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A02A2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510C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7C753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A7895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53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06D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0931D6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63E58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541B1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A9ED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E3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5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3195FA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19185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EDA7D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AFAC0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E89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9DF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0C4184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AE9B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8BEC7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F9D4F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9AE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E9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7C1D2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65876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50C23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84E02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C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F23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41E938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5B438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C2E5C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387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37B7">
            <w:pPr>
              <w:pStyle w:val="165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783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4CD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F00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</w:tbl>
    <w:p w14:paraId="30E81741">
      <w:pPr>
        <w:rPr>
          <w:rFonts w:hint="eastAsia" w:eastAsia="宋体" w:cs="宋体"/>
          <w:b/>
          <w:color w:val="auto"/>
          <w:sz w:val="44"/>
          <w:lang w:val="en-US" w:eastAsia="zh-CN"/>
        </w:rPr>
      </w:pPr>
    </w:p>
    <w:p w14:paraId="6FE5961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 目的</w:t>
      </w:r>
    </w:p>
    <w:p w14:paraId="3C4A6CBE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规范牙科金属材料抗晦暗性能硫化钠循环浸泡试验的试样制备、试验溶液配制、循环浸泡、检查、结果记录和复核过程，保证检测活动受控、原始记录完整且结果可追溯。</w:t>
      </w:r>
    </w:p>
    <w:p w14:paraId="438406C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 适用范围</w:t>
      </w:r>
    </w:p>
    <w:p w14:paraId="230C300E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适用于按GB 17168—</w:t>
      </w:r>
      <w:r>
        <w:rPr>
          <w:rFonts w:hint="eastAsia" w:eastAsia="宋体" w:cs="宋体"/>
          <w:b w:val="0"/>
          <w:color w:val="auto"/>
          <w:sz w:val="21"/>
          <w:lang w:val="en-US" w:eastAsia="zh-CN"/>
        </w:rPr>
        <w:t>2013和</w:t>
      </w:r>
      <w:r>
        <w:rPr>
          <w:rFonts w:hint="eastAsia" w:ascii="宋体" w:hAnsi="宋体" w:eastAsia="宋体" w:cs="宋体"/>
          <w:b w:val="0"/>
          <w:color w:val="auto"/>
          <w:sz w:val="21"/>
        </w:rPr>
        <w:t>ISO 22674:20</w:t>
      </w:r>
      <w:r>
        <w:rPr>
          <w:rFonts w:hint="eastAsia" w:eastAsia="宋体" w:cs="宋体"/>
          <w:b w:val="0"/>
          <w:color w:val="auto"/>
          <w:sz w:val="21"/>
          <w:lang w:val="en-US" w:eastAsia="zh-CN"/>
        </w:rPr>
        <w:t>22</w:t>
      </w:r>
      <w:r>
        <w:rPr>
          <w:rFonts w:hint="eastAsia" w:ascii="宋体" w:hAnsi="宋体" w:eastAsia="宋体" w:cs="宋体"/>
          <w:b w:val="0"/>
          <w:color w:val="auto"/>
          <w:sz w:val="21"/>
        </w:rPr>
        <w:t>开展的牙科固定和活动修复用金属材料抗晦暗性能试验。仅当委托要求、产品技术要求或包装随附信息需要评价抗晦暗性能时实施。</w:t>
      </w:r>
    </w:p>
    <w:p w14:paraId="60DDFBF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 检测依据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6650"/>
      </w:tblGrid>
      <w:tr w14:paraId="44F0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9A5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文件/标准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78A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适用内容</w:t>
            </w:r>
          </w:p>
        </w:tc>
      </w:tr>
      <w:tr w14:paraId="2C03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8302A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GB 17168—</w:t>
            </w:r>
            <w:r>
              <w:rPr>
                <w:rFonts w:hint="eastAsia" w:eastAsia="宋体" w:cs="宋体"/>
                <w:b w:val="0"/>
                <w:color w:val="auto"/>
                <w:sz w:val="18"/>
                <w:lang w:val="en-US" w:eastAsia="zh-CN"/>
              </w:rPr>
              <w:t>2013</w:t>
            </w:r>
            <w:r>
              <w:rPr>
                <w:rFonts w:hint="eastAsia" w:eastAsia="宋体" w:cs="宋体"/>
                <w:b w:val="0"/>
                <w:color w:val="auto"/>
                <w:sz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ISO 22674:20</w:t>
            </w:r>
            <w:r>
              <w:rPr>
                <w:rFonts w:hint="eastAsia" w:eastAsia="宋体" w:cs="宋体"/>
                <w:b w:val="0"/>
                <w:color w:val="auto"/>
                <w:sz w:val="18"/>
                <w:lang w:val="en-US" w:eastAsia="zh-CN"/>
              </w:rPr>
              <w:t>22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9164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5.7 抗晦暗；7.8 抗晦暗试样；8.5 抗晦暗（硫化钠试验）（以所提供文件条款为准）</w:t>
            </w:r>
          </w:p>
        </w:tc>
      </w:tr>
      <w:tr w14:paraId="0A3E6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23CA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ISO 3696:1987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757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试验用水要求（2级水）</w:t>
            </w:r>
          </w:p>
        </w:tc>
      </w:tr>
      <w:tr w14:paraId="6402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D423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实验室质量体系文件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20A8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人员、设备、记录控制、不符合工作和检测报告管理</w:t>
            </w:r>
          </w:p>
        </w:tc>
      </w:tr>
    </w:tbl>
    <w:p w14:paraId="2449CEC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 术语与试验原理</w:t>
      </w:r>
    </w:p>
    <w:p w14:paraId="638FB178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抗晦暗性能：金属材料在规定晦暗环境中抵抗表面颜色和反射外观变化，并使形成的晦暗产物易于通过轻柔擦刷去除的能力。</w:t>
      </w:r>
    </w:p>
    <w:p w14:paraId="3925A98E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试验原理：将经规定表面处理的试样周期性浸入新鲜配制的0.1 mol/L硫化钠水合溶液，在规定温度和时间下暴露；试验后在受控照明条件下，与未浸泡表面/对照试样比较颜色及反射外观差异，并评价晦暗产物的去除难易程度。</w:t>
      </w:r>
    </w:p>
    <w:p w14:paraId="6281A8D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 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9051"/>
      </w:tblGrid>
      <w:tr w14:paraId="7EA8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8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008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岗位</w:t>
            </w:r>
          </w:p>
        </w:tc>
        <w:tc>
          <w:tcPr>
            <w:tcW w:w="90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665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职责</w:t>
            </w:r>
          </w:p>
        </w:tc>
      </w:tr>
      <w:tr w14:paraId="4A8D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D77B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检测人员</w:t>
            </w:r>
          </w:p>
        </w:tc>
        <w:tc>
          <w:tcPr>
            <w:tcW w:w="90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55CA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核对样品和检测依据；确认设备、试剂和环境；制备试样和溶液；实施试验；现场填写原始记录；报告异常。</w:t>
            </w:r>
          </w:p>
        </w:tc>
      </w:tr>
      <w:tr w14:paraId="3A61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96B0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eastAsia="宋体" w:cs="宋体"/>
                <w:b w:val="0"/>
                <w:color w:val="auto"/>
                <w:sz w:val="18"/>
                <w:lang w:eastAsia="zh-CN"/>
              </w:rPr>
              <w:t>核验人员</w:t>
            </w:r>
          </w:p>
        </w:tc>
        <w:tc>
          <w:tcPr>
            <w:tcW w:w="90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2D0D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复核试样尺寸与状态、试剂批号和配制、试验温度/时间、换液时间、观察条件、结果描述、判定及修改痕迹。</w:t>
            </w:r>
          </w:p>
        </w:tc>
      </w:tr>
      <w:tr w14:paraId="3323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EE7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设备管理员</w:t>
            </w:r>
          </w:p>
        </w:tc>
        <w:tc>
          <w:tcPr>
            <w:tcW w:w="90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8586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负责浸泡装置、温度测量装置、照度计、超声清洗机等设备的维护、校准/核查和状态标识。</w:t>
            </w:r>
          </w:p>
        </w:tc>
      </w:tr>
      <w:tr w14:paraId="39C3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9D74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技术负责人</w:t>
            </w:r>
          </w:p>
        </w:tc>
        <w:tc>
          <w:tcPr>
            <w:tcW w:w="90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0C74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负责方法确认、异常/偏离技术评审以及必要时的复测决定。</w:t>
            </w:r>
          </w:p>
        </w:tc>
      </w:tr>
    </w:tbl>
    <w:p w14:paraId="2B4060D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 人员、环境与安全要求</w:t>
      </w:r>
    </w:p>
    <w:p w14:paraId="56F1E48B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检测人员应接受本方法、硫化钠试剂安全、循环浸泡装置操作和目视评价培训，并经授权后独立操作。</w:t>
      </w:r>
    </w:p>
    <w:p w14:paraId="62623AFE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试验温度应维持在（23±2）℃；检查时照度应不低于1000 lx，观察距离不超过25 cm。</w:t>
      </w:r>
    </w:p>
    <w:p w14:paraId="77546143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硫化钠试验应在适当的通风橱中进行；按实验室化学品安全要求佩戴个人防护用品。</w:t>
      </w:r>
    </w:p>
    <w:p w14:paraId="58D4915B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检查人员应具有正常三基色视觉，可佩戴无放大作用的无色矫正镜片。</w:t>
      </w:r>
    </w:p>
    <w:p w14:paraId="001F2C1A">
      <w:pPr>
        <w:rPr>
          <w:rFonts w:hint="eastAsia" w:ascii="宋体" w:hAnsi="宋体" w:eastAsia="宋体" w:cs="宋体"/>
          <w:b/>
          <w:bCs/>
          <w:color w:val="auto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2"/>
        </w:rPr>
        <w:t>7 仪器设备、器具和试剂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2887"/>
        <w:gridCol w:w="4863"/>
        <w:gridCol w:w="1963"/>
      </w:tblGrid>
      <w:tr w14:paraId="1822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344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序号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681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设备/试剂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401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技术或状态要求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9CF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用途</w:t>
            </w:r>
          </w:p>
        </w:tc>
      </w:tr>
      <w:tr w14:paraId="0C2C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323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DB1F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循环浸泡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  <w:lang w:val="en-US" w:eastAsia="zh-CN"/>
              </w:rPr>
              <w:t>仪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F95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能够实现每分钟将试样浸入试验溶液10 s～15 s；运行稳定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E7EB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周期浸泡</w:t>
            </w:r>
          </w:p>
        </w:tc>
      </w:tr>
      <w:tr w14:paraId="7722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FCC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2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B17B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恒温水浴锅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958F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能够确认并维持（23±2）℃；在有效校准/核查状态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E965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溶液温度控制</w:t>
            </w:r>
          </w:p>
        </w:tc>
      </w:tr>
      <w:tr w14:paraId="138D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574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3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FB4D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超声清洗机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7E83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运行和计时功能正常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41D2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乙醇中超声清洗2 min</w:t>
            </w:r>
          </w:p>
        </w:tc>
      </w:tr>
      <w:tr w14:paraId="2092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EEA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4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7212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照度计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574D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能够确认检查位置照度≥1000 lx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3C9B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检查条件确认</w:t>
            </w:r>
          </w:p>
        </w:tc>
      </w:tr>
      <w:tr w14:paraId="5521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D1C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5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DE51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无油无水压缩空气/洁净干燥装置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FB30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无油、无水、无明显颗粒污染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0EB0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试样干燥</w:t>
            </w:r>
          </w:p>
        </w:tc>
      </w:tr>
      <w:tr w14:paraId="00B3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8BA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6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5E45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软刷或软布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4385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洁净、柔软，不损伤试样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DEC1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晦暗产物去除性评价</w:t>
            </w:r>
          </w:p>
        </w:tc>
      </w:tr>
      <w:tr w14:paraId="202F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2FC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7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A1A2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水合硫化钠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EEB5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Na₂S·(7～9)H₂O，约35% Na₂S，分析纯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6145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配制试验溶液</w:t>
            </w:r>
          </w:p>
        </w:tc>
      </w:tr>
      <w:tr w14:paraId="7E0F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AB26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8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4487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0C29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符合ISO 3696:1987的2级水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E694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溶液配制、冲洗</w:t>
            </w:r>
          </w:p>
        </w:tc>
      </w:tr>
      <w:tr w14:paraId="5113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2CE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9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7FA0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乙醇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2969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分析纯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8944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试样清洗/后处理</w:t>
            </w:r>
          </w:p>
        </w:tc>
      </w:tr>
      <w:tr w14:paraId="132C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267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10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88BB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电子天平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4050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分度值0.01 g或更优，校准/核查有效；实验室内部配置要求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6360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水合硫化钠称量</w:t>
            </w:r>
          </w:p>
        </w:tc>
      </w:tr>
      <w:tr w14:paraId="4B3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6B7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11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DA6D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1000 mL容量瓶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246E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A级或经校准/核查确认容量满足要求；洁净无残留；实验室内部配置要求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B0A3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溶液定容</w:t>
            </w:r>
          </w:p>
        </w:tc>
      </w:tr>
      <w:tr w14:paraId="1241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99B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12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ECE3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烧杯（500～1000 mL）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F4A8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洁净、耐化学腐蚀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A978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试剂溶解</w:t>
            </w:r>
          </w:p>
        </w:tc>
      </w:tr>
      <w:tr w14:paraId="2F26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3CA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13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6F05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玻璃棒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CB3C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洁净，运行正常（如采用）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957A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促进完全溶解</w:t>
            </w:r>
          </w:p>
        </w:tc>
      </w:tr>
      <w:tr w14:paraId="73D8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60D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14</w:t>
            </w:r>
          </w:p>
        </w:tc>
        <w:tc>
          <w:tcPr>
            <w:tcW w:w="28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4B6D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漏斗、药匙、称量纸、洗瓶</w:t>
            </w:r>
          </w:p>
        </w:tc>
        <w:tc>
          <w:tcPr>
            <w:tcW w:w="48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1EFA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洁净、无交叉污染</w:t>
            </w:r>
          </w:p>
        </w:tc>
        <w:tc>
          <w:tcPr>
            <w:tcW w:w="196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A23F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称量、定量转移和冲洗</w:t>
            </w:r>
          </w:p>
        </w:tc>
      </w:tr>
    </w:tbl>
    <w:p w14:paraId="67D7BD3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 试样要求与制备</w:t>
      </w:r>
    </w:p>
    <w:p w14:paraId="4B79C80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8.1 试样数量与尺寸</w:t>
      </w:r>
    </w:p>
    <w:p w14:paraId="50C9541A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每种规定的材料状态制备2个圆片状试样，直径为（10±1）mm，厚度为（0.5±0.1）mm。试样应按制造商使用说明及适用的加工/热处理状态制备；有可见缺陷的试样应更换。</w:t>
      </w:r>
    </w:p>
    <w:p w14:paraId="0B3ACF49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实验室执行安排：为落实标准中“比较浸泡表面与未浸泡表面”的检查要求，可将同一状态的2个试样分别指定为浸泡试样和未浸泡对照试样，并在原始记录中明确用途。</w:t>
      </w:r>
    </w:p>
    <w:p w14:paraId="330F01D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8.2 表面制备</w:t>
      </w:r>
    </w:p>
    <w:p w14:paraId="135B1A35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分别用树脂封固试样。</w:t>
      </w:r>
    </w:p>
    <w:p w14:paraId="180A7549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采用标准金相制样方法打磨和抛光，以1 μm水基抛光膏作最终抛光。</w:t>
      </w:r>
    </w:p>
    <w:p w14:paraId="7FF130E3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不同合金试样应使用独立的研磨纸和抛光膏，防止交叉污染。</w:t>
      </w:r>
    </w:p>
    <w:p w14:paraId="284B6DA7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将试样浸入分析纯乙醇中超声清洗2 min，用2级水冲洗后，以无油无水压缩空气吹干。</w:t>
      </w:r>
    </w:p>
    <w:p w14:paraId="028A3D5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9 试验溶液配制</w:t>
      </w:r>
    </w:p>
    <w:p w14:paraId="352E5E63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试验溶液应在使用前新鲜配制。标准规定的配方为：称取22.3 g水合硫化钠，用2级水溶解并定容至1000 mL，制得0.1 mol/L硫化钠水合溶液。电子天平、容量瓶等为实验室为保证配制准确性设置的内部设备要求。</w:t>
      </w:r>
    </w:p>
    <w:p w14:paraId="0A1B355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9.1 配制前确认</w:t>
      </w:r>
    </w:p>
    <w:p w14:paraId="7B0168B3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核对水合硫化钠名称、批号、有效期/状态和分析纯级别；确认2级水来源。</w:t>
      </w:r>
    </w:p>
    <w:p w14:paraId="2C692EBD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确认电子天平处于有效校准/核查状态，水平和零点正常；确认1000 mL容量瓶、烧杯、漏斗、药匙、玻璃棒及洗瓶洁净、无残留。</w:t>
      </w:r>
    </w:p>
    <w:p w14:paraId="0DBBBCB5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配制操作在适当通风橱内进行，避免与酸性物质接触。</w:t>
      </w:r>
    </w:p>
    <w:p w14:paraId="2DC873A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9.2 配制操作</w:t>
      </w:r>
    </w:p>
    <w:p w14:paraId="4E051DA3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1. 在电子天平上放置洁净称量纸，去皮后称取22.3 g水合硫化钠，记录实际称量值、天平编号及称量时间。</w:t>
      </w:r>
    </w:p>
    <w:p w14:paraId="2763FB3A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2. 向洁净烧杯中加入约600 mL～800 mL 2级水，将称取的水合硫化钠缓慢加入水中，用玻璃棒搅拌至完全溶解。</w:t>
      </w:r>
    </w:p>
    <w:p w14:paraId="11BE15E3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3. 通过洁净漏斗将溶液定量转移至1000 mL容量瓶；用少量2级水分次冲洗称量容器、烧杯、玻璃棒和漏斗，将冲洗液一并转入容量瓶。</w:t>
      </w:r>
    </w:p>
    <w:p w14:paraId="02FC9000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4. 待溶液温度恢复至接近室温后，用2级水定容至1000 mL刻度，塞紧后上下颠倒混匀至少10次，使溶液均匀。</w:t>
      </w:r>
    </w:p>
    <w:p w14:paraId="324EB3F1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5. 在容器/记录中标识溶液名称、浓度、配制批次、配制日期时间及配制人。溶液现配现用，不作长期保存。</w:t>
      </w:r>
    </w:p>
    <w:p w14:paraId="637A9E4E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6. 24 h和48 h换液前分别重新按上述步骤配制新鲜溶液，不得用初始批次剩余溶液直接替代。</w:t>
      </w:r>
    </w:p>
    <w:p w14:paraId="4816032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9.3 配制完成确认</w:t>
      </w:r>
    </w:p>
    <w:p w14:paraId="29E5A91F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溶液应澄清或符合试剂正常外观，不得有明显未溶颗粒或外来污染。</w:t>
      </w:r>
    </w:p>
    <w:p w14:paraId="4A26323D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配制记录至少包括：试剂批号、实际称量值、天平编号、容量瓶编号/标识、2级水来源、配制时间、配制人和用途（初始/24 h换液/48 h换液）。</w:t>
      </w:r>
    </w:p>
    <w:p w14:paraId="54C3A37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10 试验步骤</w:t>
      </w:r>
    </w:p>
    <w:p w14:paraId="536AEAEE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1. 核对试样编号、材料状态及用途（浸泡试样/对照试样），确认试样尺寸和表面制备符合要求。</w:t>
      </w:r>
    </w:p>
    <w:p w14:paraId="021B57E4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2. 确认循环浸泡装置、温度测量装置和照明/照度确认设备状态有效。</w:t>
      </w:r>
    </w:p>
    <w:p w14:paraId="6DB623A9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3. 向试验容器加入1000 mL新鲜配制的0.1 mol/L硫化钠水合溶液，并将溶液温度稳定在（23±2）℃。</w:t>
      </w:r>
    </w:p>
    <w:p w14:paraId="7FDC7253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4. 将浸泡试样固定于循环浸泡装置，保证装置运行时试样能够按设定方式接触试验溶液，且固定可靠。</w:t>
      </w:r>
    </w:p>
    <w:p w14:paraId="2F4CA9B8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5. 启动装置，使试样每分钟浸入试验溶液10 s～15 s，连续运行（72±1）h；记录开始时间、实际温度和运行状态。</w:t>
      </w:r>
    </w:p>
    <w:p w14:paraId="4EE07CB7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6. 在（24±1）h更换新鲜试验溶液，并记录实际换液时间；在（48±1）h再次更换新鲜试验溶液并记录。</w:t>
      </w:r>
    </w:p>
    <w:p w14:paraId="66A17981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7. 试验期间若装置停止、温度超限、换液时间超限或试样脱落，应立即记录并按第13章处理。</w:t>
      </w:r>
    </w:p>
    <w:p w14:paraId="698F4B52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8. 达到（72±1）h后取出试样，用2级水彻底冲洗；再浸入分析纯乙醇，取出后以无油无水压缩空气吹干。</w:t>
      </w:r>
    </w:p>
    <w:p w14:paraId="6FE58C19">
      <w:pPr>
        <w:spacing w:after="40"/>
        <w:ind w:left="113" w:hanging="1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9. 试验全过程应在适当的通风橱中进行。</w:t>
      </w:r>
    </w:p>
    <w:p w14:paraId="2E7AFD5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 检查与结果记录</w:t>
      </w:r>
    </w:p>
    <w:p w14:paraId="1E0025B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11.1 检查条件</w:t>
      </w:r>
    </w:p>
    <w:p w14:paraId="6BB899F7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检查人员具有正常三基色视觉；如需矫正，可佩戴无放大作用的无色镜片。</w:t>
      </w:r>
    </w:p>
    <w:p w14:paraId="119DE6B3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检查位置照度不低于1000 lx。</w:t>
      </w:r>
    </w:p>
    <w:p w14:paraId="74C378AC">
      <w:pPr>
        <w:pStyle w:val="16"/>
        <w:spacing w:after="20"/>
        <w:ind w:left="3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眼睛至试样观察距离不超过25 cm。</w:t>
      </w:r>
    </w:p>
    <w:p w14:paraId="6648475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11.2 表面比较</w:t>
      </w:r>
    </w:p>
    <w:p w14:paraId="04ED8A0A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在相同观察条件下比较浸泡试样与未浸泡表面/对照试样，记录任何颜色变化和表面反射外观差异。若无颜色变化或无反射外观变化，也应明确记录“无变化”。本方法不设置反射率仪器定量值，除非委托、产品技术要求或实验室确认方法另有规定。</w:t>
      </w:r>
    </w:p>
    <w:p w14:paraId="150552F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11.3 晦暗产物去除性</w:t>
      </w:r>
    </w:p>
    <w:p w14:paraId="77361DB0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使用洁净软刷或软布对晦暗区域进行轻柔刷拭/擦拭，评价去除难易程度，并记录为“易去除”“部分可去除”或“不易去除”，同时描述擦拭后的表面状态。</w:t>
      </w:r>
    </w:p>
    <w:p w14:paraId="5152D60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12 结果判定</w:t>
      </w:r>
    </w:p>
    <w:p w14:paraId="3D377251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当试验后仅出现极轻微颜色改变，并且晦暗产物经轻柔刷拭或擦拭即可容易去除时，可判定为满足抗晦暗性能要求。反射外观差异为必须记录和报告的观察项目，但所提供标准未给出独立的定量限值，因此不得自行设置数值判定限。</w:t>
      </w:r>
    </w:p>
    <w:p w14:paraId="6C84B8FA">
      <w:pPr>
        <w:spacing w:after="6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若无颜色改变、无反射外观改变或两者均无变化，应按实际观察结果记录和报告。若材料存在另一套不同热处理状态试样，应对该状态重复试验并分别记录。</w:t>
      </w:r>
    </w:p>
    <w:p w14:paraId="46694DD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13 质量控制与异常处理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4922"/>
        <w:gridCol w:w="3353"/>
      </w:tblGrid>
      <w:tr w14:paraId="6444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56C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控制环节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180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控制要求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1C4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记录/证据</w:t>
            </w:r>
          </w:p>
        </w:tc>
      </w:tr>
      <w:tr w14:paraId="1278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EC18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试样身份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18A4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试样编号、材料状态、用途明确且可追溯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D0C5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样品信息、试样制备记录</w:t>
            </w:r>
          </w:p>
        </w:tc>
      </w:tr>
      <w:tr w14:paraId="76B4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AB46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溶液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12A4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0.1 mol/L；22.3 g水合硫化钠定容至1000 mL；现配现用；24 h及48 h重新配制并换液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F755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试剂批号、实际称量、天平/容量瓶编号、配制/换液时间</w:t>
            </w:r>
          </w:p>
        </w:tc>
      </w:tr>
      <w:tr w14:paraId="0ADA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F379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14C3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试验期间维持（23±2）℃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9C29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温度记录</w:t>
            </w:r>
          </w:p>
        </w:tc>
      </w:tr>
      <w:tr w14:paraId="7CA3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839A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浸泡循环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A3BF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每分钟浸入10 s～15 s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A9C5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装置设定/运行确认</w:t>
            </w:r>
          </w:p>
        </w:tc>
      </w:tr>
      <w:tr w14:paraId="50F0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CB96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时间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04C9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总试验时间（72±1）h；换液点（24±1）h、（48±1）h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FFAF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开始/结束/换液时间</w:t>
            </w:r>
          </w:p>
        </w:tc>
      </w:tr>
      <w:tr w14:paraId="753E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20FF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观察条件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0B73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照度≥1000 lx；观察距离≤25 cm；检查人员视觉符合要求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F613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照度、距离、人员确认</w:t>
            </w:r>
          </w:p>
        </w:tc>
      </w:tr>
      <w:tr w14:paraId="480F1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D8B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数据完整性</w:t>
            </w:r>
          </w:p>
        </w:tc>
        <w:tc>
          <w:tcPr>
            <w:tcW w:w="538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4416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原始观察、异常、修改和复测全部保留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595D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原始记录、修改说明</w:t>
            </w:r>
          </w:p>
        </w:tc>
      </w:tr>
    </w:tbl>
    <w:p w14:paraId="5100FC3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13.1 异常/偏离处理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7699"/>
      </w:tblGrid>
      <w:tr w14:paraId="0353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E22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异常情形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9DA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处理原则</w:t>
            </w:r>
          </w:p>
        </w:tc>
      </w:tr>
      <w:tr w14:paraId="7655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DC16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温度超出（23±2）℃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ED9F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记录发生时间、持续时间和幅度，暂停/纠正后由技术负责人评估受影响程度及是否复测。</w:t>
            </w:r>
          </w:p>
        </w:tc>
      </w:tr>
      <w:tr w14:paraId="4130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FA6E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循环装置停止或浸泡时间异常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D29E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记录停止时间和原因，恢复前不得删除既有记录；由技术负责人决定是否继续或重新试验。</w:t>
            </w:r>
          </w:p>
        </w:tc>
      </w:tr>
      <w:tr w14:paraId="408C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A305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24 h或48 h换液超出允许时间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B480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记录实际换液时间和偏差，进行影响评估。</w:t>
            </w:r>
          </w:p>
        </w:tc>
      </w:tr>
      <w:tr w14:paraId="4511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1739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试样脱落、污染或表面损伤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40E1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记录情况，必要时判定本次结果无效并使用符合要求的试样重新试验。</w:t>
            </w:r>
          </w:p>
        </w:tc>
      </w:tr>
      <w:tr w14:paraId="4B73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0C0F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观察条件不符合要求</w:t>
            </w:r>
          </w:p>
        </w:tc>
        <w:tc>
          <w:tcPr>
            <w:tcW w:w="85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9370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纠正照度/距离后重新观察；原观察记录保留并注明无效原因。</w:t>
            </w:r>
          </w:p>
        </w:tc>
      </w:tr>
    </w:tbl>
    <w:p w14:paraId="712927B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14 原始记录、数据和报告要求</w:t>
      </w:r>
    </w:p>
    <w:p w14:paraId="19FFA785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rtl w:val="0"/>
          <w:lang w:val="en-US" w:eastAsia="zh-CN"/>
        </w:rPr>
        <w:t>14.1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rtl w:val="0"/>
          <w:lang w:val="en-US"/>
        </w:rPr>
        <w:t>原始记录应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真实、准确、清晰、完整，不得随意涂改；确需修改时，应保留原始内容并签名注明日期和原因。原始记录至少应包括委托单位、样品名称、样品编号、检测依据、主要设备、试验条件、结果数据、判定依据、结论、检测日期、检测人员、复核人员和授权签字人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等必要信息。原始记录见《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金属材料抗晦暗性能试验原始记录表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bookmarkStart w:id="0" w:name="_GoBack"/>
      <w:bookmarkEnd w:id="0"/>
    </w:p>
    <w:p w14:paraId="7B6E5F0F">
      <w:pPr>
        <w:pStyle w:val="165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 xml:space="preserve">14.2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报告应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与原始记录的信息保持一致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报告格式见DLBP-CX-P08-R03 检验报告。</w:t>
      </w:r>
    </w:p>
    <w:p w14:paraId="676FF1E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15 试验流程</w:t>
      </w:r>
    </w:p>
    <w:p w14:paraId="027F0252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样品核对 → 试样制备/抛光 → 乙醇超声清洗 → 新鲜配制0.1 mol/L硫化钠溶液 →</w:t>
      </w:r>
      <w:r>
        <w:rPr>
          <w:rFonts w:hint="eastAsia" w:ascii="宋体" w:hAnsi="宋体" w:eastAsia="宋体" w:cs="宋体"/>
          <w:b/>
          <w:color w:val="auto"/>
          <w:sz w:val="20"/>
        </w:rPr>
        <w:br w:type="textWrapping"/>
      </w:r>
      <w:r>
        <w:rPr>
          <w:rFonts w:hint="eastAsia" w:ascii="宋体" w:hAnsi="宋体" w:eastAsia="宋体" w:cs="宋体"/>
          <w:b/>
          <w:color w:val="auto"/>
          <w:sz w:val="20"/>
        </w:rPr>
        <w:t>23±2℃周期浸泡72±1 h → 24 h/48 h换液 → 冲洗/乙醇处理/干燥 →</w:t>
      </w:r>
      <w:r>
        <w:rPr>
          <w:rFonts w:hint="eastAsia" w:ascii="宋体" w:hAnsi="宋体" w:eastAsia="宋体" w:cs="宋体"/>
          <w:b/>
          <w:color w:val="auto"/>
          <w:sz w:val="20"/>
        </w:rPr>
        <w:br w:type="textWrapping"/>
      </w:r>
      <w:r>
        <w:rPr>
          <w:rFonts w:hint="eastAsia" w:ascii="宋体" w:hAnsi="宋体" w:eastAsia="宋体" w:cs="宋体"/>
          <w:b/>
          <w:color w:val="auto"/>
          <w:sz w:val="20"/>
        </w:rPr>
        <w:t>≥1000 lx、≤25 cm目视比较 → 轻柔擦刷评价 → 复核、判定与归档</w:t>
      </w:r>
    </w:p>
    <w:sectPr>
      <w:headerReference r:id="rId5" w:type="default"/>
      <w:footerReference r:id="rId6" w:type="default"/>
      <w:pgSz w:w="12240" w:h="15840"/>
      <w:pgMar w:top="1020" w:right="1020" w:bottom="1020" w:left="10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ptos Display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DE37A">
    <w:pPr>
      <w:pStyle w:val="24"/>
      <w:jc w:val="right"/>
      <w:rPr>
        <w:rFonts w:hint="default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B3F1C1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B3F1C1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4"/>
        <w:szCs w:val="24"/>
        <w:lang w:val="en-US" w:eastAsia="zh-CN"/>
      </w:rPr>
      <w:t>DLBP-SOP-017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00F49">
    <w:pPr>
      <w:pStyle w:val="25"/>
      <w:jc w:val="center"/>
    </w:pPr>
    <w:r>
      <w:rPr>
        <w:rFonts w:hint="eastAsia" w:ascii="黑体" w:hAnsi="黑体" w:eastAsia="黑体" w:cs="黑体"/>
        <w:b w:val="0"/>
        <w:color w:val="auto"/>
        <w:sz w:val="20"/>
      </w:rPr>
      <w:t>大连标普检测有限公司</w:t>
    </w:r>
    <w:r>
      <w:rPr>
        <w:rFonts w:ascii="宋体" w:hAnsi="宋体" w:eastAsia="宋体" w:cs="宋体"/>
        <w:b w:val="0"/>
        <w:color w:val="1F4E79"/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84C6D"/>
    <w:rsid w:val="094E3682"/>
    <w:rsid w:val="0C662A91"/>
    <w:rsid w:val="0FDF3286"/>
    <w:rsid w:val="20BB29B8"/>
    <w:rsid w:val="51E4500E"/>
    <w:rsid w:val="652B7762"/>
    <w:rsid w:val="D796011F"/>
    <w:rsid w:val="FF7F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20" w:after="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小标题"/>
    <w:next w:val="165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0" w:beforeAutospacing="0" w:after="80" w:afterAutospacing="0" w:line="240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40"/>
      <w:szCs w:val="40"/>
      <w:u w:val="none" w:color="0F4761"/>
      <w:shd w:val="clear" w:color="auto" w:fill="auto"/>
      <w:vertAlign w:val="baseline"/>
    </w:rPr>
  </w:style>
  <w:style w:type="paragraph" w:customStyle="1" w:styleId="165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1088</Words>
  <Characters>1217</Characters>
  <Lines>0</Lines>
  <Paragraphs>0</Paragraphs>
  <TotalTime>0</TotalTime>
  <ScaleCrop>false</ScaleCrop>
  <LinksUpToDate>false</LinksUpToDate>
  <CharactersWithSpaces>1249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2026-08-10T04:11:11Z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5EB728CD609883034917786AB8D9EBDF_42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