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183D6BFC">
      <w:pPr>
        <w:pStyle w:val="2"/>
        <w:keepNext w:val="0"/>
        <w:keepLines w:val="0"/>
        <w:widowControl/>
        <w:suppressLineNumbers w:val="0"/>
      </w:pPr>
      <w:r>
        <w:t>Research Report on Broken Object Property Level Authorization (BOPLA)</w:t>
      </w:r>
    </w:p>
    <w:p w14:paraId="09FA2AD9"/>
    <w:p w14:paraId="64A8F2DF"/>
    <w:p w14:paraId="3394F486"/>
    <w:p w14:paraId="3C65E9EF"/>
    <w:p w14:paraId="3001D8FD"/>
    <w:p w14:paraId="48DC7354"/>
    <w:p w14:paraId="51E8476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71415" cy="2783840"/>
            <wp:effectExtent l="0" t="0" r="6985" b="10160"/>
            <wp:docPr id="1" name="Picture 1" descr="Broken Object Level Authorization (BO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roken Object Level Authorization (BOLA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C49D">
      <w:pPr>
        <w:rPr>
          <w:rFonts w:hint="default"/>
          <w:lang w:val="en-US"/>
        </w:rPr>
      </w:pPr>
    </w:p>
    <w:p w14:paraId="3EE0DDD4">
      <w:pPr>
        <w:rPr>
          <w:rFonts w:hint="default"/>
          <w:lang w:val="en-US"/>
        </w:rPr>
      </w:pPr>
    </w:p>
    <w:p w14:paraId="54314963">
      <w:pPr>
        <w:rPr>
          <w:rFonts w:hint="default"/>
          <w:lang w:val="en-US"/>
        </w:rPr>
      </w:pPr>
    </w:p>
    <w:p w14:paraId="4B98A22C">
      <w:pPr>
        <w:rPr>
          <w:rFonts w:hint="default"/>
          <w:lang w:val="en-US"/>
        </w:rPr>
      </w:pPr>
    </w:p>
    <w:p w14:paraId="6E2BBECC">
      <w:pPr>
        <w:rPr>
          <w:rFonts w:hint="default"/>
          <w:lang w:val="en-US"/>
        </w:rPr>
      </w:pPr>
    </w:p>
    <w:p w14:paraId="6C40B573">
      <w:pPr>
        <w:rPr>
          <w:rFonts w:hint="default"/>
          <w:lang w:val="en-US"/>
        </w:rPr>
      </w:pPr>
    </w:p>
    <w:p w14:paraId="40CF29F4">
      <w:pPr>
        <w:rPr>
          <w:rFonts w:hint="default"/>
          <w:lang w:val="en-US"/>
        </w:rPr>
      </w:pPr>
    </w:p>
    <w:p w14:paraId="1880F083">
      <w:pPr>
        <w:rPr>
          <w:rFonts w:hint="default"/>
          <w:lang w:val="en-US"/>
        </w:rPr>
      </w:pPr>
    </w:p>
    <w:p w14:paraId="7F47E902">
      <w:pPr>
        <w:rPr>
          <w:rFonts w:hint="default"/>
          <w:lang w:val="en-US"/>
        </w:rPr>
      </w:pPr>
    </w:p>
    <w:p w14:paraId="0FEE8E81">
      <w:pPr>
        <w:rPr>
          <w:rFonts w:hint="default"/>
          <w:lang w:val="en-US"/>
        </w:rPr>
      </w:pPr>
    </w:p>
    <w:p w14:paraId="4F91A495">
      <w:pPr>
        <w:rPr>
          <w:rFonts w:hint="default"/>
          <w:lang w:val="en-US"/>
        </w:rPr>
      </w:pPr>
    </w:p>
    <w:p w14:paraId="0A26C487">
      <w:r>
        <w:br w:type="page"/>
      </w:r>
    </w:p>
    <w:p w14:paraId="708CD9FD"/>
    <w:p w14:paraId="12454902">
      <w:pPr>
        <w:pStyle w:val="3"/>
        <w:keepNext w:val="0"/>
        <w:keepLines w:val="0"/>
        <w:widowControl/>
        <w:suppressLineNumbers w:val="0"/>
      </w:pPr>
      <w:r>
        <w:t>Introduction</w:t>
      </w:r>
    </w:p>
    <w:p w14:paraId="686D1288">
      <w:pPr>
        <w:pStyle w:val="11"/>
        <w:keepNext w:val="0"/>
        <w:keepLines w:val="0"/>
        <w:widowControl/>
        <w:suppressLineNumbers w:val="0"/>
      </w:pPr>
      <w:r>
        <w:t>Broken Object Property Level Authorization (BOPLA) refers to a security vulnerability where improper access controls on object properties allow unauthorized modifications or access to sensitive attributes. This issue often occurs in APIs and modern applications that utilize object-oriented data structures and exposes critical information or functionalities to attackers.</w:t>
      </w:r>
    </w:p>
    <w:p w14:paraId="6F8E8F78">
      <w:pPr>
        <w:pStyle w:val="11"/>
        <w:keepNext w:val="0"/>
        <w:keepLines w:val="0"/>
        <w:widowControl/>
        <w:suppressLineNumbers w:val="0"/>
      </w:pPr>
    </w:p>
    <w:p w14:paraId="54FD6C6E">
      <w:pPr>
        <w:pStyle w:val="3"/>
        <w:keepNext w:val="0"/>
        <w:keepLines w:val="0"/>
        <w:widowControl/>
        <w:suppressLineNumbers w:val="0"/>
      </w:pPr>
      <w:r>
        <w:t>What is BOPLA?</w:t>
      </w:r>
    </w:p>
    <w:p w14:paraId="0C91BF60"/>
    <w:p w14:paraId="190A4A93">
      <w:pPr>
        <w:pStyle w:val="11"/>
        <w:keepNext w:val="0"/>
        <w:keepLines w:val="0"/>
        <w:widowControl/>
        <w:suppressLineNumbers w:val="0"/>
      </w:pPr>
      <w:r>
        <w:t>BOPLA occurs when the application does not validate or restrict user access to specific object properties, allowing attackers to:</w:t>
      </w:r>
    </w:p>
    <w:p w14:paraId="6401BD57">
      <w:pPr>
        <w:pStyle w:val="11"/>
        <w:keepNext w:val="0"/>
        <w:keepLines w:val="0"/>
        <w:widowControl/>
        <w:suppressLineNumbers w:val="0"/>
      </w:pPr>
    </w:p>
    <w:p w14:paraId="7054DF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Modify Object Properties:</w:t>
      </w:r>
      <w:r>
        <w:t xml:space="preserve"> Attackers can change sensitive attributes, such as user roles or permissions.</w:t>
      </w:r>
    </w:p>
    <w:p w14:paraId="7B5354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Access Restricted Data:</w:t>
      </w:r>
      <w:r>
        <w:t xml:space="preserve"> Unauthorized access to sensitive fields or metadata.</w:t>
      </w:r>
    </w:p>
    <w:p w14:paraId="2B1859FC">
      <w:pPr>
        <w:pStyle w:val="4"/>
        <w:keepNext w:val="0"/>
        <w:keepLines w:val="0"/>
        <w:widowControl/>
        <w:suppressLineNumbers w:val="0"/>
      </w:pPr>
      <w:r>
        <w:t>Characteristics of BOPLA:</w:t>
      </w:r>
    </w:p>
    <w:p w14:paraId="6F36E9D2"/>
    <w:p w14:paraId="2B9474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Insufficient validation of object properties at both client and server levels.</w:t>
      </w:r>
    </w:p>
    <w:p w14:paraId="37B5AC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Reliance on client-side controls, leaving backend systems vulnerable.</w:t>
      </w:r>
    </w:p>
    <w:p w14:paraId="5BF5BE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Commonly exploited in RESTful and GraphQL APIs.</w:t>
      </w:r>
    </w:p>
    <w:p w14:paraId="61444D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863319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4FC95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66E28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90118F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1A6BC7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D9FFAB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bookmarkStart w:id="0" w:name="_GoBack"/>
      <w:bookmarkEnd w:id="0"/>
    </w:p>
    <w:p w14:paraId="6474192A">
      <w:pPr>
        <w:pStyle w:val="3"/>
        <w:keepNext w:val="0"/>
        <w:keepLines w:val="0"/>
        <w:widowControl/>
        <w:suppressLineNumbers w:val="0"/>
      </w:pPr>
      <w:r>
        <w:t>Comparison of 2019 and 2023 OWASP API Top 10 with Respect to BOPLA</w:t>
      </w:r>
    </w:p>
    <w:p w14:paraId="7F0AD29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43935"/>
            <wp:effectExtent l="0" t="0" r="3810" b="12065"/>
            <wp:docPr id="2" name="Picture 2" descr="Broken Object Level Authorization (BO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roken Object Level Authorization (BOLA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050F">
      <w:pPr>
        <w:pStyle w:val="4"/>
        <w:keepNext w:val="0"/>
        <w:keepLines w:val="0"/>
        <w:widowControl/>
        <w:suppressLineNumbers w:val="0"/>
      </w:pPr>
      <w:r>
        <w:t>2019 OWASP API Top 10:</w:t>
      </w:r>
    </w:p>
    <w:p w14:paraId="42672E27">
      <w:pPr>
        <w:pStyle w:val="11"/>
        <w:keepNext w:val="0"/>
        <w:keepLines w:val="0"/>
        <w:widowControl/>
        <w:suppressLineNumbers w:val="0"/>
      </w:pPr>
      <w:r>
        <w:t>In 2019, BOPLA-related issues were not explicitly defined but fell under broader categories such as:</w:t>
      </w:r>
    </w:p>
    <w:p w14:paraId="202E48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API1:2019 - Broken Object Level Authorization:</w:t>
      </w:r>
      <w:r>
        <w:t xml:space="preserve"> Focused on vulnerabilities at the object level but did not explicitly address property-level controls.</w:t>
      </w:r>
    </w:p>
    <w:p w14:paraId="62CF74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API4:2019 - Lack of Resources &amp; Rate Limiting:</w:t>
      </w:r>
      <w:r>
        <w:t xml:space="preserve"> Indirectly related to excessive exposure by overlooking resource-level validation.</w:t>
      </w:r>
    </w:p>
    <w:p w14:paraId="29E71D91">
      <w:pPr>
        <w:pStyle w:val="4"/>
        <w:keepNext w:val="0"/>
        <w:keepLines w:val="0"/>
        <w:widowControl/>
        <w:suppressLineNumbers w:val="0"/>
      </w:pPr>
      <w:r>
        <w:t>2023 OWASP API Top 10:</w:t>
      </w:r>
    </w:p>
    <w:p w14:paraId="4C094CC2">
      <w:pPr>
        <w:pStyle w:val="11"/>
        <w:keepNext w:val="0"/>
        <w:keepLines w:val="0"/>
        <w:widowControl/>
        <w:suppressLineNumbers w:val="0"/>
      </w:pPr>
      <w:r>
        <w:t>In the 2023 update, BOPLA gained clearer recognition due to the growing complexity of APIs:</w:t>
      </w:r>
    </w:p>
    <w:p w14:paraId="2195B3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API3:2023 - Broken Object Property Level Authorization:</w:t>
      </w:r>
      <w:r>
        <w:t xml:space="preserve"> Specifically addresses issues related to inadequate property-level authorization.</w:t>
      </w:r>
    </w:p>
    <w:p w14:paraId="243A3E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API6:2023 - Mass Assignment:</w:t>
      </w:r>
      <w:r>
        <w:t xml:space="preserve"> Highlights how automatic mapping of input data to object properties leads to exploitation.</w:t>
      </w:r>
    </w:p>
    <w:p w14:paraId="529DF1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API2:2023 - Excessive Data Exposure:</w:t>
      </w:r>
      <w:r>
        <w:t xml:space="preserve"> Emphasizes the risks of exposing unnecessary fields in API responses.</w:t>
      </w:r>
    </w:p>
    <w:p w14:paraId="0132092A">
      <w:pPr>
        <w:pStyle w:val="11"/>
        <w:keepNext w:val="0"/>
        <w:keepLines w:val="0"/>
        <w:widowControl/>
        <w:suppressLineNumbers w:val="0"/>
      </w:pPr>
      <w:r>
        <w:t>The explicit addition of BOPLA in the 2023 list underscores its rising prominence and the need for specialized mitigation strategies.</w:t>
      </w:r>
    </w:p>
    <w:p w14:paraId="2F348463">
      <w:pPr>
        <w:pStyle w:val="11"/>
        <w:keepNext w:val="0"/>
        <w:keepLines w:val="0"/>
        <w:widowControl/>
        <w:suppressLineNumbers w:val="0"/>
      </w:pPr>
    </w:p>
    <w:p w14:paraId="14660BB8">
      <w:pPr>
        <w:pStyle w:val="11"/>
        <w:keepNext w:val="0"/>
        <w:keepLines w:val="0"/>
        <w:widowControl/>
        <w:suppressLineNumbers w:val="0"/>
      </w:pPr>
    </w:p>
    <w:p w14:paraId="049449D7">
      <w:pPr>
        <w:pStyle w:val="3"/>
        <w:keepNext w:val="0"/>
        <w:keepLines w:val="0"/>
        <w:widowControl/>
        <w:suppressLineNumbers w:val="0"/>
      </w:pPr>
      <w:r>
        <w:t>Excessive Data Exposure and Mass Assignment</w:t>
      </w:r>
    </w:p>
    <w:p w14:paraId="5EE7354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163570"/>
            <wp:effectExtent l="0" t="0" r="10160" b="11430"/>
            <wp:docPr id="3" name="Picture 3" descr="Broken Object Level Authorization (BO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roken Object Level Authorization (BOLA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FD3D">
      <w:pPr>
        <w:pStyle w:val="4"/>
        <w:keepNext w:val="0"/>
        <w:keepLines w:val="0"/>
        <w:widowControl/>
        <w:suppressLineNumbers w:val="0"/>
      </w:pPr>
      <w:r>
        <w:t>Excessive Data Exposure:</w:t>
      </w:r>
    </w:p>
    <w:p w14:paraId="407CD997">
      <w:pPr>
        <w:pStyle w:val="11"/>
        <w:keepNext w:val="0"/>
        <w:keepLines w:val="0"/>
        <w:widowControl/>
        <w:suppressLineNumbers w:val="0"/>
      </w:pPr>
      <w:r>
        <w:t>Occurs when APIs return more data than necessary to fulfill a request, inadvertently exposing sensitive information.</w:t>
      </w:r>
    </w:p>
    <w:p w14:paraId="2F1E570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215456E">
      <w:pPr>
        <w:pStyle w:val="11"/>
        <w:keepNext w:val="0"/>
        <w:keepLines w:val="0"/>
        <w:widowControl/>
        <w:suppressLineNumbers w:val="0"/>
      </w:pPr>
      <w:r>
        <w:t>An API response for user details might include fields such as:</w:t>
      </w:r>
    </w:p>
    <w:p w14:paraId="0CBDE6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05C24B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"id": 123,</w:t>
      </w:r>
    </w:p>
    <w:p w14:paraId="02C646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"name": "John Doe",</w:t>
      </w:r>
    </w:p>
    <w:p w14:paraId="4B152B9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"email": "johndoe@example.com",</w:t>
      </w:r>
    </w:p>
    <w:p w14:paraId="46F592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"password": "hashed_password",</w:t>
      </w:r>
    </w:p>
    <w:p w14:paraId="581993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"role": "admin"</w:t>
      </w:r>
    </w:p>
    <w:p w14:paraId="27279E9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11EFC0F">
      <w:pPr>
        <w:pStyle w:val="11"/>
        <w:keepNext w:val="0"/>
        <w:keepLines w:val="0"/>
        <w:widowControl/>
        <w:suppressLineNumbers w:val="0"/>
      </w:pPr>
      <w:r>
        <w:t>If the "password" or "role" fields are exposed, attackers could exploit this information for privilege escalation or account compromise.</w:t>
      </w:r>
    </w:p>
    <w:p w14:paraId="18A161C9">
      <w:pPr>
        <w:pStyle w:val="5"/>
        <w:keepNext w:val="0"/>
        <w:keepLines w:val="0"/>
        <w:widowControl/>
        <w:suppressLineNumbers w:val="0"/>
      </w:pPr>
      <w:r>
        <w:t>Case Study:</w:t>
      </w:r>
    </w:p>
    <w:p w14:paraId="2E6621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Incident:</w:t>
      </w:r>
      <w:r>
        <w:t xml:space="preserve"> In a large e-commerce platform, excessive data exposure revealed sensitive user attributes, leading to targeted phishing campaigns.</w:t>
      </w:r>
    </w:p>
    <w:p w14:paraId="79B474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Impact:</w:t>
      </w:r>
      <w:r>
        <w:t xml:space="preserve"> Compromised user accounts and financial losses.</w:t>
      </w:r>
    </w:p>
    <w:p w14:paraId="712FF76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0FFC4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26E00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1B77ED4">
      <w:pPr>
        <w:pStyle w:val="4"/>
        <w:keepNext w:val="0"/>
        <w:keepLines w:val="0"/>
        <w:widowControl/>
        <w:suppressLineNumbers w:val="0"/>
      </w:pPr>
      <w:r>
        <w:t>Mass Assignment:</w:t>
      </w:r>
    </w:p>
    <w:p w14:paraId="4BDFD7A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453130"/>
            <wp:effectExtent l="0" t="0" r="10160" b="1270"/>
            <wp:docPr id="4" name="Picture 4" descr="Broken Object Level Authorization (BO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roken Object Level Authorization (BOLA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7E7A">
      <w:pPr>
        <w:rPr>
          <w:rFonts w:hint="default"/>
          <w:lang w:val="en-US"/>
        </w:rPr>
      </w:pPr>
    </w:p>
    <w:p w14:paraId="037A432F">
      <w:pPr>
        <w:pStyle w:val="11"/>
        <w:keepNext w:val="0"/>
        <w:keepLines w:val="0"/>
        <w:widowControl/>
        <w:suppressLineNumbers w:val="0"/>
      </w:pPr>
      <w:r>
        <w:t>Occurs when APIs automatically bind client-supplied input to object properties without proper validation, allowing attackers to modify sensitive attributes.</w:t>
      </w:r>
    </w:p>
    <w:p w14:paraId="505F6C6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10F7E17">
      <w:pPr>
        <w:pStyle w:val="11"/>
        <w:keepNext w:val="0"/>
        <w:keepLines w:val="0"/>
        <w:widowControl/>
        <w:suppressLineNumbers w:val="0"/>
      </w:pPr>
      <w:r>
        <w:t>An API endpoint for updating user profiles might process input like this:</w:t>
      </w:r>
    </w:p>
    <w:p w14:paraId="15F3B6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6E2B6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"name": "John Doe",</w:t>
      </w:r>
    </w:p>
    <w:p w14:paraId="0E3AF2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"role": "admin"</w:t>
      </w:r>
    </w:p>
    <w:p w14:paraId="70DC01A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B032138">
      <w:pPr>
        <w:pStyle w:val="11"/>
        <w:keepNext w:val="0"/>
        <w:keepLines w:val="0"/>
        <w:widowControl/>
        <w:suppressLineNumbers w:val="0"/>
      </w:pPr>
      <w:r>
        <w:t>If the "role" field is not properly validated, an attacker could escalate privileges by assigning themselves admin rights.</w:t>
      </w:r>
    </w:p>
    <w:p w14:paraId="49207D61">
      <w:pPr>
        <w:pStyle w:val="5"/>
        <w:keepNext w:val="0"/>
        <w:keepLines w:val="0"/>
        <w:widowControl/>
        <w:suppressLineNumbers w:val="0"/>
      </w:pPr>
      <w:r>
        <w:t>Case Study:</w:t>
      </w:r>
    </w:p>
    <w:p w14:paraId="32E715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Incident:</w:t>
      </w:r>
      <w:r>
        <w:t xml:space="preserve"> A fintech application allowed attackers to exploit mass assignment vulnerabilities to modify account balance fields.</w:t>
      </w:r>
    </w:p>
    <w:p w14:paraId="5FC978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Impact:</w:t>
      </w:r>
      <w:r>
        <w:t xml:space="preserve"> Financial fraud and significant reputational damage.</w:t>
      </w:r>
    </w:p>
    <w:p w14:paraId="1AD223F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80E539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60FE7F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8E0B97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8B26573">
      <w:pPr>
        <w:pStyle w:val="3"/>
        <w:keepNext w:val="0"/>
        <w:keepLines w:val="0"/>
        <w:widowControl/>
        <w:suppressLineNumbers w:val="0"/>
      </w:pPr>
      <w:r>
        <w:t>Impact of BOPLA</w:t>
      </w:r>
    </w:p>
    <w:p w14:paraId="0300B7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724150"/>
            <wp:effectExtent l="0" t="0" r="5080" b="6350"/>
            <wp:docPr id="5" name="Picture 5" descr="Broken Object Level Authorization (BO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roken Object Level Authorization (BOLA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6FEA">
      <w:pPr>
        <w:rPr>
          <w:rFonts w:hint="default"/>
          <w:lang w:val="en-US"/>
        </w:rPr>
      </w:pPr>
    </w:p>
    <w:p w14:paraId="42DC8E45">
      <w:pPr>
        <w:rPr>
          <w:rFonts w:hint="default"/>
          <w:lang w:val="en-US"/>
        </w:rPr>
      </w:pPr>
    </w:p>
    <w:p w14:paraId="3A9A827E">
      <w:pPr>
        <w:pStyle w:val="4"/>
        <w:keepNext w:val="0"/>
        <w:keepLines w:val="0"/>
        <w:widowControl/>
        <w:suppressLineNumbers w:val="0"/>
      </w:pPr>
      <w:r>
        <w:t>Technical Impacts:</w:t>
      </w:r>
    </w:p>
    <w:p w14:paraId="2E9BAC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Unauthorized Data Access:</w:t>
      </w:r>
      <w:r>
        <w:t xml:space="preserve"> Exposure of sensitive information like passwords, financial details, or PII (Personally Identifiable Information).</w:t>
      </w:r>
    </w:p>
    <w:p w14:paraId="46400B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Privilege Escalation:</w:t>
      </w:r>
      <w:r>
        <w:t xml:space="preserve"> Attackers can modify roles or permissions, gaining unauthorized access to restricted functionalities.</w:t>
      </w:r>
    </w:p>
    <w:p w14:paraId="3148C4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System Manipulation:</w:t>
      </w:r>
      <w:r>
        <w:t xml:space="preserve"> Alteration of backend configurations or metadata, leading to operational disruptions.</w:t>
      </w:r>
    </w:p>
    <w:p w14:paraId="1456FD6E">
      <w:pPr>
        <w:pStyle w:val="4"/>
        <w:keepNext w:val="0"/>
        <w:keepLines w:val="0"/>
        <w:widowControl/>
        <w:suppressLineNumbers w:val="0"/>
      </w:pPr>
      <w:r>
        <w:t>Business Impacts:</w:t>
      </w:r>
    </w:p>
    <w:p w14:paraId="4DC2E0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Data Breaches:</w:t>
      </w:r>
      <w:r>
        <w:t xml:space="preserve"> Significant financial and reputational damage due to exposed sensitive data.</w:t>
      </w:r>
    </w:p>
    <w:p w14:paraId="4C7D47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Regulatory Penalties:</w:t>
      </w:r>
      <w:r>
        <w:t xml:space="preserve"> Non-compliance with data protection regulations like GDPR, CCPA, or HIPAA.</w:t>
      </w:r>
    </w:p>
    <w:p w14:paraId="0DB48F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User Trust Erosion:</w:t>
      </w:r>
      <w:r>
        <w:t xml:space="preserve"> Loss of customer confidence in the platform’s security.</w:t>
      </w:r>
    </w:p>
    <w:p w14:paraId="2261B439">
      <w:pPr>
        <w:pStyle w:val="3"/>
        <w:keepNext w:val="0"/>
        <w:keepLines w:val="0"/>
        <w:widowControl/>
        <w:suppressLineNumbers w:val="0"/>
      </w:pPr>
      <w:r>
        <w:t>Mitigation Strategies</w:t>
      </w:r>
    </w:p>
    <w:p w14:paraId="5E4773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Server-Side Validation:</w:t>
      </w:r>
      <w:r>
        <w:t xml:space="preserve"> Always enforce property-level authorization checks on the server.</w:t>
      </w:r>
    </w:p>
    <w:p w14:paraId="6A0FC4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Whitelisting Properties:</w:t>
      </w:r>
      <w:r>
        <w:t xml:space="preserve"> Restrict API responses and inputs to essential fields only.</w:t>
      </w:r>
    </w:p>
    <w:p w14:paraId="097D6F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Input Sanitization:</w:t>
      </w:r>
      <w:r>
        <w:t xml:space="preserve"> Validate and sanitize all client-provided data to prevent unauthorized modifications.</w:t>
      </w:r>
    </w:p>
    <w:p w14:paraId="6367B3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Penetration Testing:</w:t>
      </w:r>
      <w:r>
        <w:t xml:space="preserve"> Conduct regular API security tests to identify and address BOPLA vulnerabilities.</w:t>
      </w:r>
    </w:p>
    <w:p w14:paraId="73E274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Use of Security Tools:</w:t>
      </w:r>
      <w:r>
        <w:t xml:space="preserve"> Employ API security gateways and automated testing tools to detect excessive data exposure and mass assignment risks.</w:t>
      </w:r>
    </w:p>
    <w:p w14:paraId="64BC3B2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57F3B3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5C2E7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5018B13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082921A5">
      <w:pPr>
        <w:pStyle w:val="11"/>
        <w:keepNext w:val="0"/>
        <w:keepLines w:val="0"/>
        <w:widowControl/>
        <w:suppressLineNumbers w:val="0"/>
      </w:pPr>
      <w:r>
        <w:t>Broken Object Property Level Authorization (BOPLA) poses a critical threat to modern applications, particularly those leveraging APIs. With its inclusion in the OWASP API Top 10 for 2023, BOPLA highlights the importance of robust property-level access controls and continuous security testing. By adopting best practices and leveraging modern security tools, organizations can mitigate these risks, safeguarding their applications and users from potential exploitation.</w:t>
      </w:r>
    </w:p>
    <w:p w14:paraId="1C79EFED">
      <w:pPr>
        <w:pStyle w:val="3"/>
        <w:keepNext w:val="0"/>
        <w:keepLines w:val="0"/>
        <w:widowControl/>
        <w:suppressLineNumbers w:val="0"/>
      </w:pPr>
      <w:r>
        <w:t>References</w:t>
      </w:r>
    </w:p>
    <w:p w14:paraId="0B1101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OWASP API Security Top 10 (2023). </w:t>
      </w:r>
      <w:r>
        <w:fldChar w:fldCharType="begin"/>
      </w:r>
      <w:r>
        <w:instrText xml:space="preserve"> HYPERLINK "https://owasp.org/www-project-api-security/" </w:instrText>
      </w:r>
      <w:r>
        <w:fldChar w:fldCharType="separate"/>
      </w:r>
      <w:r>
        <w:rPr>
          <w:rStyle w:val="10"/>
        </w:rPr>
        <w:t>OWASP</w:t>
      </w:r>
      <w:r>
        <w:fldChar w:fldCharType="end"/>
      </w:r>
      <w:r>
        <w:t>.</w:t>
      </w:r>
    </w:p>
    <w:p w14:paraId="0CE3D3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REST API Security Guide (2025). </w:t>
      </w:r>
      <w:r>
        <w:fldChar w:fldCharType="begin"/>
      </w:r>
      <w:r>
        <w:instrText xml:space="preserve"> HYPERLINK "https://apiacademy.com/" </w:instrText>
      </w:r>
      <w:r>
        <w:fldChar w:fldCharType="separate"/>
      </w:r>
      <w:r>
        <w:rPr>
          <w:rStyle w:val="10"/>
        </w:rPr>
        <w:t>API Academy</w:t>
      </w:r>
      <w:r>
        <w:fldChar w:fldCharType="end"/>
      </w:r>
      <w:r>
        <w:t>.</w:t>
      </w:r>
    </w:p>
    <w:p w14:paraId="37D31D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Postman Security Testing Guide (2025). </w:t>
      </w:r>
      <w:r>
        <w:fldChar w:fldCharType="begin"/>
      </w:r>
      <w:r>
        <w:instrText xml:space="preserve"> HYPERLINK "https://postman.com/" </w:instrText>
      </w:r>
      <w:r>
        <w:fldChar w:fldCharType="separate"/>
      </w:r>
      <w:r>
        <w:rPr>
          <w:rStyle w:val="10"/>
        </w:rPr>
        <w:t>Postman</w:t>
      </w:r>
      <w:r>
        <w:fldChar w:fldCharType="end"/>
      </w:r>
      <w:r>
        <w:t>.</w:t>
      </w:r>
    </w:p>
    <w:p w14:paraId="53A5E6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Burp Suite Documentation (2025). </w:t>
      </w:r>
      <w:r>
        <w:fldChar w:fldCharType="begin"/>
      </w:r>
      <w:r>
        <w:instrText xml:space="preserve"> HYPERLINK "https://portswigger.net/" </w:instrText>
      </w:r>
      <w:r>
        <w:fldChar w:fldCharType="separate"/>
      </w:r>
      <w:r>
        <w:rPr>
          <w:rStyle w:val="10"/>
        </w:rPr>
        <w:t>PortSwigger</w:t>
      </w:r>
      <w:r>
        <w:fldChar w:fldCharType="end"/>
      </w:r>
      <w:r>
        <w:t>.</w:t>
      </w:r>
    </w:p>
    <w:p w14:paraId="014439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Symantec Threat Report (2024). </w:t>
      </w:r>
      <w:r>
        <w:fldChar w:fldCharType="begin"/>
      </w:r>
      <w:r>
        <w:instrText xml:space="preserve"> HYPERLINK "https://www.symantec.com/" </w:instrText>
      </w:r>
      <w:r>
        <w:fldChar w:fldCharType="separate"/>
      </w:r>
      <w:r>
        <w:rPr>
          <w:rStyle w:val="10"/>
        </w:rPr>
        <w:t>Symantec</w:t>
      </w:r>
      <w:r>
        <w:fldChar w:fldCharType="end"/>
      </w:r>
      <w:r>
        <w:t>.</w:t>
      </w:r>
    </w:p>
    <w:p w14:paraId="485526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GDPR Compliance Guidelines (2025). </w:t>
      </w:r>
      <w:r>
        <w:fldChar w:fldCharType="begin"/>
      </w:r>
      <w:r>
        <w:instrText xml:space="preserve"> HYPERLINK "https://ec.europa.eu/info/law/law-topic/data-protection_en" </w:instrText>
      </w:r>
      <w:r>
        <w:fldChar w:fldCharType="separate"/>
      </w:r>
      <w:r>
        <w:rPr>
          <w:rStyle w:val="10"/>
        </w:rPr>
        <w:t>European Commission</w:t>
      </w:r>
      <w:r>
        <w:fldChar w:fldCharType="end"/>
      </w:r>
      <w:r>
        <w:t>.</w:t>
      </w:r>
    </w:p>
    <w:p w14:paraId="29F0EA5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D079"/>
    <w:multiLevelType w:val="multilevel"/>
    <w:tmpl w:val="8A4DD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EA15AD"/>
    <w:multiLevelType w:val="multilevel"/>
    <w:tmpl w:val="95EA15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C9D33B1"/>
    <w:multiLevelType w:val="multilevel"/>
    <w:tmpl w:val="AC9D33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BC5D986"/>
    <w:multiLevelType w:val="multilevel"/>
    <w:tmpl w:val="EBC5D9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DC8CA1B"/>
    <w:multiLevelType w:val="multilevel"/>
    <w:tmpl w:val="EDC8CA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BE30916"/>
    <w:multiLevelType w:val="multilevel"/>
    <w:tmpl w:val="FBE309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4BB78E4"/>
    <w:multiLevelType w:val="multilevel"/>
    <w:tmpl w:val="04BB7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011C030"/>
    <w:multiLevelType w:val="multilevel"/>
    <w:tmpl w:val="5011C0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061BD4E"/>
    <w:multiLevelType w:val="multilevel"/>
    <w:tmpl w:val="7061B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481C7EA"/>
    <w:multiLevelType w:val="multilevel"/>
    <w:tmpl w:val="7481C7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"/>
  </w:num>
  <w:num w:numId="5">
    <w:abstractNumId w:val="9"/>
  </w:num>
  <w:num w:numId="6">
    <w:abstractNumId w:val="6"/>
  </w:num>
  <w:num w:numId="7">
    <w:abstractNumId w:val="0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2C0CF1"/>
    <w:rsid w:val="762C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2025-01-13T10:14:00Z</dcterms:created>
  <dc:creator>WPS_1727873086</dc:creator>
  <cp:lastModifiedBy>WPS_1727873086</cp:lastModifiedBy>
  <dcterms:modified xsi:type="dcterms:W3CDTF">2025-01-13T11:11:09Z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9F0B718A552A4A15B9E97A837A29E7EC_11</vt:lpwstr>
  </property>
</Properties>
</file>