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6F90" w14:textId="4FBFA706" w:rsidR="00AE1260" w:rsidRDefault="00000000">
      <w:pPr>
        <w:pStyle w:val="Title"/>
      </w:pPr>
      <w:r>
        <w:t xml:space="preserve">ATLAS Platform - AI </w:t>
      </w:r>
      <w:r w:rsidR="00E0099C">
        <w:t>Utilization</w:t>
      </w:r>
      <w:r>
        <w:t xml:space="preserve"> and Rule-Based Analysis</w:t>
      </w:r>
    </w:p>
    <w:p w14:paraId="2FA721F1" w14:textId="306258B2" w:rsidR="00AE1260" w:rsidRDefault="00000000">
      <w:pPr>
        <w:pStyle w:val="Heading1"/>
      </w:pPr>
      <w:r>
        <w:t>1. Executive Summary</w:t>
      </w:r>
    </w:p>
    <w:p w14:paraId="39CDF776" w14:textId="77777777" w:rsidR="00AE1260" w:rsidRDefault="00000000">
      <w:r>
        <w:t>ATLAS uses a hybrid analysis design: deterministic legal rules are the compliance backbone, while AI provides classification, report enhancement, and investigative suggestions.</w:t>
      </w:r>
    </w:p>
    <w:p w14:paraId="2D9B4CB3" w14:textId="77777777" w:rsidR="00AE1260" w:rsidRDefault="00000000">
      <w:pPr>
        <w:pStyle w:val="Heading1"/>
      </w:pPr>
      <w:r>
        <w:t>2. Where AI Is Used in ATLAS</w:t>
      </w:r>
    </w:p>
    <w:p w14:paraId="39DA38E8" w14:textId="77777777" w:rsidR="00AE1260" w:rsidRDefault="00000000">
      <w:pPr>
        <w:pStyle w:val="ListBullet"/>
      </w:pPr>
      <w:r>
        <w:t>FIR classification pipeline (section-map + model fallbacks).</w:t>
      </w:r>
    </w:p>
    <w:p w14:paraId="03C5F9DF" w14:textId="77777777" w:rsidR="00AE1260" w:rsidRDefault="00000000">
      <w:pPr>
        <w:pStyle w:val="ListBullet"/>
      </w:pPr>
      <w:r>
        <w:t>Section-versus-narrative mismatch flagging for FIR triage.</w:t>
      </w:r>
    </w:p>
    <w:p w14:paraId="5D0F8E77" w14:textId="77777777" w:rsidR="00AE1260" w:rsidRDefault="00000000">
      <w:pPr>
        <w:pStyle w:val="ListBullet"/>
      </w:pPr>
      <w:r>
        <w:t>Validation report enhancement with narrative summarization and de-duplication.</w:t>
      </w:r>
    </w:p>
    <w:p w14:paraId="38D95CBF" w14:textId="77777777" w:rsidR="00AE1260" w:rsidRDefault="00000000">
      <w:pPr>
        <w:pStyle w:val="ListBullet"/>
      </w:pPr>
      <w:r>
        <w:t>Evidence gap hybrid analysis (deterministic expected gaps + AI-suggested pattern gaps).</w:t>
      </w:r>
    </w:p>
    <w:p w14:paraId="05C7EC59" w14:textId="77777777" w:rsidR="00AE1260" w:rsidRDefault="00000000">
      <w:pPr>
        <w:pStyle w:val="ListBullet"/>
      </w:pPr>
      <w:r>
        <w:t>Reviewer-facing summaries and prioritization in chargesheet review UI.</w:t>
      </w:r>
    </w:p>
    <w:p w14:paraId="61C2C774" w14:textId="77777777" w:rsidR="00AE1260" w:rsidRDefault="00000000">
      <w:pPr>
        <w:pStyle w:val="Heading1"/>
      </w:pPr>
      <w:r>
        <w:t>3. AI Components and Their Purpose</w:t>
      </w:r>
    </w:p>
    <w:p w14:paraId="086AA508" w14:textId="77777777" w:rsidR="00AE1260" w:rsidRDefault="00000000">
      <w:pPr>
        <w:pStyle w:val="Heading2"/>
      </w:pPr>
      <w:r>
        <w:t>3.1 FIR Classification</w:t>
      </w:r>
    </w:p>
    <w:p w14:paraId="7E49C8FE" w14:textId="77777777" w:rsidR="00AE1260" w:rsidRDefault="00000000">
      <w:pPr>
        <w:pStyle w:val="ListBullet"/>
      </w:pPr>
      <w:r>
        <w:t>Uses legal section-map inference first when sections are available and mappable.</w:t>
      </w:r>
    </w:p>
    <w:p w14:paraId="6FB0B51A" w14:textId="77777777" w:rsidR="00AE1260" w:rsidRDefault="00000000">
      <w:pPr>
        <w:pStyle w:val="ListBullet"/>
      </w:pPr>
      <w:r>
        <w:t>Falls back to model-driven NLP path when deterministic section mapping is insufficient.</w:t>
      </w:r>
    </w:p>
    <w:p w14:paraId="692097F6" w14:textId="77777777" w:rsidR="00AE1260" w:rsidRDefault="00000000">
      <w:pPr>
        <w:pStyle w:val="ListBullet"/>
      </w:pPr>
      <w:r>
        <w:t>Returns category, confidence, and method metadata for auditing and review.</w:t>
      </w:r>
    </w:p>
    <w:p w14:paraId="22729967" w14:textId="77777777" w:rsidR="00AE1260" w:rsidRDefault="00000000">
      <w:pPr>
        <w:pStyle w:val="ListBullet"/>
      </w:pPr>
      <w:r>
        <w:t>Can trigger review_needed status when NLP and section inference disagree.</w:t>
      </w:r>
    </w:p>
    <w:p w14:paraId="2173C083" w14:textId="77777777" w:rsidR="00AE1260" w:rsidRDefault="00000000">
      <w:pPr>
        <w:pStyle w:val="Heading2"/>
      </w:pPr>
      <w:r>
        <w:t>3.2 Legal NLP Enhancement</w:t>
      </w:r>
    </w:p>
    <w:p w14:paraId="70AD2EFD" w14:textId="77777777" w:rsidR="00AE1260" w:rsidRDefault="00000000">
      <w:pPr>
        <w:pStyle w:val="ListBullet"/>
      </w:pPr>
      <w:r>
        <w:t>Improves readability of deterministic findings using summary text generation.</w:t>
      </w:r>
    </w:p>
    <w:p w14:paraId="3EF0921A" w14:textId="77777777" w:rsidR="00AE1260" w:rsidRDefault="00000000">
      <w:pPr>
        <w:pStyle w:val="ListBullet"/>
      </w:pPr>
      <w:r>
        <w:t>Suppresses near-duplicate recommendations and marks likely routine findings.</w:t>
      </w:r>
    </w:p>
    <w:p w14:paraId="2E21C264" w14:textId="77777777" w:rsidR="00AE1260" w:rsidRDefault="00000000">
      <w:pPr>
        <w:pStyle w:val="ListBullet"/>
      </w:pPr>
      <w:r>
        <w:t>Keeps deterministic legal findings intact; does not override rule outcomes.</w:t>
      </w:r>
    </w:p>
    <w:p w14:paraId="602B5316" w14:textId="77777777" w:rsidR="00AE1260" w:rsidRDefault="00000000">
      <w:pPr>
        <w:pStyle w:val="Heading2"/>
      </w:pPr>
      <w:r>
        <w:t>3.3 Evidence Hybrid Layer</w:t>
      </w:r>
    </w:p>
    <w:p w14:paraId="791F6E3F" w14:textId="77777777" w:rsidR="00AE1260" w:rsidRDefault="00000000">
      <w:pPr>
        <w:pStyle w:val="ListBullet"/>
      </w:pPr>
      <w:r>
        <w:t>Tier 1: deterministic expected-evidence logic from taxonomy and charge context.</w:t>
      </w:r>
    </w:p>
    <w:p w14:paraId="45D55F5F" w14:textId="77777777" w:rsidR="00AE1260" w:rsidRDefault="00000000">
      <w:pPr>
        <w:pStyle w:val="ListBullet"/>
      </w:pPr>
      <w:r>
        <w:t>Tier 2: AI/ML pattern suggestions to identify likely missing evidence beyond strict subtraction.</w:t>
      </w:r>
    </w:p>
    <w:p w14:paraId="25B89C5A" w14:textId="77777777" w:rsidR="00AE1260" w:rsidRDefault="00000000">
      <w:pPr>
        <w:pStyle w:val="ListBullet"/>
      </w:pPr>
      <w:r>
        <w:t>Produces merged evidence gaps, present evidence, coverage percentage, totals, and summary.</w:t>
      </w:r>
    </w:p>
    <w:p w14:paraId="3652DE32" w14:textId="77777777" w:rsidR="00AE1260" w:rsidRDefault="00000000">
      <w:pPr>
        <w:pStyle w:val="Heading1"/>
      </w:pPr>
      <w:r>
        <w:lastRenderedPageBreak/>
        <w:t>4. Rules in Chargesheet Analysis</w:t>
      </w:r>
    </w:p>
    <w:p w14:paraId="2422F22B" w14:textId="77777777" w:rsidR="00AE1260" w:rsidRDefault="00000000">
      <w:r>
        <w:t>Chargesheet legal validation executes seven deterministic rules in sequence. Rules 1 and 2 are cross-document and require linked FIR context; Rules 3 to 7 are internal consistency checks and always run.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1260" w14:paraId="76760815" w14:textId="77777777">
        <w:tc>
          <w:tcPr>
            <w:tcW w:w="2880" w:type="dxa"/>
          </w:tcPr>
          <w:p w14:paraId="6BB11277" w14:textId="77777777" w:rsidR="00AE1260" w:rsidRDefault="00000000">
            <w:r>
              <w:t>Rule</w:t>
            </w:r>
          </w:p>
        </w:tc>
        <w:tc>
          <w:tcPr>
            <w:tcW w:w="2880" w:type="dxa"/>
          </w:tcPr>
          <w:p w14:paraId="031E5DF0" w14:textId="77777777" w:rsidR="00AE1260" w:rsidRDefault="00000000">
            <w:r>
              <w:t>What it checks</w:t>
            </w:r>
          </w:p>
        </w:tc>
        <w:tc>
          <w:tcPr>
            <w:tcW w:w="2880" w:type="dxa"/>
          </w:tcPr>
          <w:p w14:paraId="3F0679A8" w14:textId="77777777" w:rsidR="00AE1260" w:rsidRDefault="00000000">
            <w:r>
              <w:t>When it runs</w:t>
            </w:r>
          </w:p>
        </w:tc>
      </w:tr>
      <w:tr w:rsidR="00AE1260" w14:paraId="4F4AF84D" w14:textId="77777777">
        <w:tc>
          <w:tcPr>
            <w:tcW w:w="2880" w:type="dxa"/>
          </w:tcPr>
          <w:p w14:paraId="29210D9C" w14:textId="77777777" w:rsidR="00AE1260" w:rsidRDefault="00000000">
            <w:r>
              <w:t>RULE_1</w:t>
            </w:r>
          </w:p>
        </w:tc>
        <w:tc>
          <w:tcPr>
            <w:tcW w:w="2880" w:type="dxa"/>
          </w:tcPr>
          <w:p w14:paraId="7413D670" w14:textId="77777777" w:rsidR="00AE1260" w:rsidRDefault="00000000">
            <w:r>
              <w:t>Sections in chargesheet but not in FIR</w:t>
            </w:r>
          </w:p>
        </w:tc>
        <w:tc>
          <w:tcPr>
            <w:tcW w:w="2880" w:type="dxa"/>
          </w:tcPr>
          <w:p w14:paraId="38166C71" w14:textId="77777777" w:rsidR="00AE1260" w:rsidRDefault="00000000">
            <w:r>
              <w:t>Only with linked FIR</w:t>
            </w:r>
          </w:p>
        </w:tc>
      </w:tr>
      <w:tr w:rsidR="00AE1260" w14:paraId="207DB2D9" w14:textId="77777777">
        <w:tc>
          <w:tcPr>
            <w:tcW w:w="2880" w:type="dxa"/>
          </w:tcPr>
          <w:p w14:paraId="0A24863B" w14:textId="77777777" w:rsidR="00AE1260" w:rsidRDefault="00000000">
            <w:r>
              <w:t>RULE_2</w:t>
            </w:r>
          </w:p>
        </w:tc>
        <w:tc>
          <w:tcPr>
            <w:tcW w:w="2880" w:type="dxa"/>
          </w:tcPr>
          <w:p w14:paraId="363E3A42" w14:textId="77777777" w:rsidR="00AE1260" w:rsidRDefault="00000000">
            <w:r>
              <w:t>Sections in FIR missing from chargesheet</w:t>
            </w:r>
          </w:p>
        </w:tc>
        <w:tc>
          <w:tcPr>
            <w:tcW w:w="2880" w:type="dxa"/>
          </w:tcPr>
          <w:p w14:paraId="0C4DD1FE" w14:textId="77777777" w:rsidR="00AE1260" w:rsidRDefault="00000000">
            <w:r>
              <w:t>Only with linked FIR</w:t>
            </w:r>
          </w:p>
        </w:tc>
      </w:tr>
      <w:tr w:rsidR="00AE1260" w14:paraId="6AA669C7" w14:textId="77777777">
        <w:tc>
          <w:tcPr>
            <w:tcW w:w="2880" w:type="dxa"/>
          </w:tcPr>
          <w:p w14:paraId="114303CE" w14:textId="77777777" w:rsidR="00AE1260" w:rsidRDefault="00000000">
            <w:r>
              <w:t>RULE_3</w:t>
            </w:r>
          </w:p>
        </w:tc>
        <w:tc>
          <w:tcPr>
            <w:tcW w:w="2880" w:type="dxa"/>
          </w:tcPr>
          <w:p w14:paraId="52F5A890" w14:textId="77777777" w:rsidR="00AE1260" w:rsidRDefault="00000000">
            <w:r>
              <w:t>Invalid/mutually exclusive combinations</w:t>
            </w:r>
          </w:p>
        </w:tc>
        <w:tc>
          <w:tcPr>
            <w:tcW w:w="2880" w:type="dxa"/>
          </w:tcPr>
          <w:p w14:paraId="35507507" w14:textId="77777777" w:rsidR="00AE1260" w:rsidRDefault="00000000">
            <w:r>
              <w:t>Always</w:t>
            </w:r>
          </w:p>
        </w:tc>
      </w:tr>
      <w:tr w:rsidR="00AE1260" w14:paraId="47220F83" w14:textId="77777777">
        <w:tc>
          <w:tcPr>
            <w:tcW w:w="2880" w:type="dxa"/>
          </w:tcPr>
          <w:p w14:paraId="0D34E823" w14:textId="77777777" w:rsidR="00AE1260" w:rsidRDefault="00000000">
            <w:r>
              <w:t>RULE_4</w:t>
            </w:r>
          </w:p>
        </w:tc>
        <w:tc>
          <w:tcPr>
            <w:tcW w:w="2880" w:type="dxa"/>
          </w:tcPr>
          <w:p w14:paraId="41BA4F52" w14:textId="77777777" w:rsidR="00AE1260" w:rsidRDefault="00000000">
            <w:r>
              <w:t>Missing companion sections</w:t>
            </w:r>
          </w:p>
        </w:tc>
        <w:tc>
          <w:tcPr>
            <w:tcW w:w="2880" w:type="dxa"/>
          </w:tcPr>
          <w:p w14:paraId="2381D701" w14:textId="77777777" w:rsidR="00AE1260" w:rsidRDefault="00000000">
            <w:r>
              <w:t>Always</w:t>
            </w:r>
          </w:p>
        </w:tc>
      </w:tr>
      <w:tr w:rsidR="00AE1260" w14:paraId="429B3E20" w14:textId="77777777">
        <w:tc>
          <w:tcPr>
            <w:tcW w:w="2880" w:type="dxa"/>
          </w:tcPr>
          <w:p w14:paraId="00B9FFBE" w14:textId="77777777" w:rsidR="00AE1260" w:rsidRDefault="00000000">
            <w:r>
              <w:t>RULE_5</w:t>
            </w:r>
          </w:p>
        </w:tc>
        <w:tc>
          <w:tcPr>
            <w:tcW w:w="2880" w:type="dxa"/>
          </w:tcPr>
          <w:p w14:paraId="7A94C5C1" w14:textId="77777777" w:rsidR="00AE1260" w:rsidRDefault="00000000">
            <w:r>
              <w:t>Procedural and legal requirement gaps</w:t>
            </w:r>
          </w:p>
        </w:tc>
        <w:tc>
          <w:tcPr>
            <w:tcW w:w="2880" w:type="dxa"/>
          </w:tcPr>
          <w:p w14:paraId="387383FC" w14:textId="77777777" w:rsidR="00AE1260" w:rsidRDefault="00000000">
            <w:r>
              <w:t>Always</w:t>
            </w:r>
          </w:p>
        </w:tc>
      </w:tr>
      <w:tr w:rsidR="00AE1260" w14:paraId="56AB467E" w14:textId="77777777">
        <w:tc>
          <w:tcPr>
            <w:tcW w:w="2880" w:type="dxa"/>
          </w:tcPr>
          <w:p w14:paraId="58AB3AD3" w14:textId="77777777" w:rsidR="00AE1260" w:rsidRDefault="00000000">
            <w:r>
              <w:t>RULE_6</w:t>
            </w:r>
          </w:p>
        </w:tc>
        <w:tc>
          <w:tcPr>
            <w:tcW w:w="2880" w:type="dxa"/>
          </w:tcPr>
          <w:p w14:paraId="3BFC8B64" w14:textId="77777777" w:rsidR="00AE1260" w:rsidRDefault="00000000">
            <w:r>
              <w:t>IPC/BNS consistency with date/act</w:t>
            </w:r>
          </w:p>
        </w:tc>
        <w:tc>
          <w:tcPr>
            <w:tcW w:w="2880" w:type="dxa"/>
          </w:tcPr>
          <w:p w14:paraId="627C53E4" w14:textId="77777777" w:rsidR="00AE1260" w:rsidRDefault="00000000">
            <w:r>
              <w:t>Always</w:t>
            </w:r>
          </w:p>
        </w:tc>
      </w:tr>
      <w:tr w:rsidR="00AE1260" w14:paraId="5871F067" w14:textId="77777777">
        <w:tc>
          <w:tcPr>
            <w:tcW w:w="2880" w:type="dxa"/>
          </w:tcPr>
          <w:p w14:paraId="03BC2280" w14:textId="77777777" w:rsidR="00AE1260" w:rsidRDefault="00000000">
            <w:r>
              <w:t>RULE_7</w:t>
            </w:r>
          </w:p>
        </w:tc>
        <w:tc>
          <w:tcPr>
            <w:tcW w:w="2880" w:type="dxa"/>
          </w:tcPr>
          <w:p w14:paraId="638429FE" w14:textId="77777777" w:rsidR="00AE1260" w:rsidRDefault="00000000">
            <w:r>
              <w:t>Evidence sufficiency against mandatory expectations</w:t>
            </w:r>
          </w:p>
        </w:tc>
        <w:tc>
          <w:tcPr>
            <w:tcW w:w="2880" w:type="dxa"/>
          </w:tcPr>
          <w:p w14:paraId="604BD687" w14:textId="77777777" w:rsidR="00AE1260" w:rsidRDefault="00000000">
            <w:r>
              <w:t>Always</w:t>
            </w:r>
          </w:p>
        </w:tc>
      </w:tr>
    </w:tbl>
    <w:p w14:paraId="262086D2" w14:textId="77777777" w:rsidR="00AE1260" w:rsidRDefault="00000000">
      <w:pPr>
        <w:pStyle w:val="Heading1"/>
      </w:pPr>
      <w:r>
        <w:t>5. Chargesheet Analysis Flow</w:t>
      </w:r>
    </w:p>
    <w:p w14:paraId="48E0F33D" w14:textId="77777777" w:rsidR="00AE1260" w:rsidRDefault="00000000">
      <w:pPr>
        <w:pStyle w:val="ListNumber"/>
      </w:pPr>
      <w:r>
        <w:t>Upload and authorize chargesheet input.</w:t>
      </w:r>
    </w:p>
    <w:p w14:paraId="78E059E7" w14:textId="77777777" w:rsidR="00AE1260" w:rsidRDefault="00000000">
      <w:pPr>
        <w:pStyle w:val="ListNumber"/>
      </w:pPr>
      <w:r>
        <w:t>Extract and parse structured fields (charges, evidence, witnesses, metadata).</w:t>
      </w:r>
    </w:p>
    <w:p w14:paraId="51E5DE97" w14:textId="77777777" w:rsidR="00AE1260" w:rsidRDefault="00000000">
      <w:pPr>
        <w:pStyle w:val="ListNumber"/>
      </w:pPr>
      <w:r>
        <w:t>Attempt FIR linkage by FIR reference number.</w:t>
      </w:r>
    </w:p>
    <w:p w14:paraId="7A992171" w14:textId="77777777" w:rsidR="00AE1260" w:rsidRDefault="00000000">
      <w:pPr>
        <w:pStyle w:val="ListNumber"/>
      </w:pPr>
      <w:r>
        <w:t>Run deterministic RULE_1 to RULE_7 validation pipeline.</w:t>
      </w:r>
    </w:p>
    <w:p w14:paraId="5FA4DD0B" w14:textId="77777777" w:rsidR="00AE1260" w:rsidRDefault="00000000">
      <w:pPr>
        <w:pStyle w:val="ListNumber"/>
      </w:pPr>
      <w:r>
        <w:t>Enhance findings for reviewer readability using legal NLP layer.</w:t>
      </w:r>
    </w:p>
    <w:p w14:paraId="52C0C58A" w14:textId="77777777" w:rsidR="00AE1260" w:rsidRDefault="00000000">
      <w:pPr>
        <w:pStyle w:val="ListNumber"/>
      </w:pPr>
      <w:r>
        <w:t>Run hybrid evidence-gap pipeline (deterministic plus AI suggestions).</w:t>
      </w:r>
    </w:p>
    <w:p w14:paraId="4867111B" w14:textId="77777777" w:rsidR="00AE1260" w:rsidRDefault="00000000">
      <w:pPr>
        <w:pStyle w:val="ListNumber"/>
      </w:pPr>
      <w:r>
        <w:t>Persist reports and present them in reviewer workflow endpoints/UI.</w:t>
      </w:r>
    </w:p>
    <w:p w14:paraId="350807B6" w14:textId="77777777" w:rsidR="00AE1260" w:rsidRDefault="00000000">
      <w:pPr>
        <w:pStyle w:val="ListNumber"/>
      </w:pPr>
      <w:r>
        <w:t>Track reviewer decisions through audit-chain endpoints.</w:t>
      </w:r>
    </w:p>
    <w:p w14:paraId="101C8EDD" w14:textId="77777777" w:rsidR="00AE1260" w:rsidRDefault="00000000">
      <w:pPr>
        <w:pStyle w:val="Heading1"/>
      </w:pPr>
      <w:r>
        <w:lastRenderedPageBreak/>
        <w:t>6. Diagrams</w:t>
      </w:r>
    </w:p>
    <w:p w14:paraId="32A15B2D" w14:textId="77777777" w:rsidR="00AE1260" w:rsidRDefault="00000000">
      <w:pPr>
        <w:pStyle w:val="Heading2"/>
      </w:pPr>
      <w:r>
        <w:t>6.1 AI Placement and Decision Flow</w:t>
      </w:r>
    </w:p>
    <w:p w14:paraId="73338B3C" w14:textId="77777777" w:rsidR="00AE1260" w:rsidRDefault="00000000">
      <w:r>
        <w:rPr>
          <w:noProof/>
        </w:rPr>
        <w:drawing>
          <wp:inline distT="0" distB="0" distL="0" distR="0" wp14:anchorId="52D8CA99" wp14:editId="61E123F3">
            <wp:extent cx="6126480" cy="3063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usage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7E5A" w14:textId="77777777" w:rsidR="00AE1260" w:rsidRDefault="00000000">
      <w:r>
        <w:t>Figure 1. System-level view of where AI and deterministic logic are applied.</w:t>
      </w:r>
    </w:p>
    <w:p w14:paraId="6C08F86B" w14:textId="77777777" w:rsidR="00AE1260" w:rsidRDefault="00000000">
      <w:pPr>
        <w:pStyle w:val="Heading2"/>
      </w:pPr>
      <w:r>
        <w:lastRenderedPageBreak/>
        <w:t>6.2 Rule Execution in Chargesheet Validation</w:t>
      </w:r>
    </w:p>
    <w:p w14:paraId="2F2F03C7" w14:textId="77777777" w:rsidR="00AE1260" w:rsidRDefault="00000000">
      <w:r>
        <w:rPr>
          <w:noProof/>
        </w:rPr>
        <w:drawing>
          <wp:inline distT="0" distB="0" distL="0" distR="0" wp14:anchorId="152D0F5A" wp14:editId="7CB29CA6">
            <wp:extent cx="6126480" cy="38986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usage_rules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9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BA24" w14:textId="77777777" w:rsidR="00AE1260" w:rsidRDefault="00000000">
      <w:r>
        <w:t>Figure 2. Deterministic rule sequencing, finding construction, and persistence.</w:t>
      </w:r>
    </w:p>
    <w:p w14:paraId="4BE1D08B" w14:textId="77777777" w:rsidR="00AE1260" w:rsidRDefault="00000000">
      <w:pPr>
        <w:pStyle w:val="Heading2"/>
      </w:pPr>
      <w:r>
        <w:t>6.3 Hybrid Evidence Gap Analysis</w:t>
      </w:r>
    </w:p>
    <w:p w14:paraId="310A39B1" w14:textId="77777777" w:rsidR="00AE1260" w:rsidRDefault="00000000">
      <w:r>
        <w:rPr>
          <w:noProof/>
        </w:rPr>
        <w:drawing>
          <wp:inline distT="0" distB="0" distL="0" distR="0" wp14:anchorId="6B308BE8" wp14:editId="40742A02">
            <wp:extent cx="6126480" cy="33417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usage_evidence_hybr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4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02EE" w14:textId="77777777" w:rsidR="00AE1260" w:rsidRDefault="00000000">
      <w:r>
        <w:lastRenderedPageBreak/>
        <w:t>Figure 3. Tiered evidence gap generation with deterministic and AI components.</w:t>
      </w:r>
    </w:p>
    <w:p w14:paraId="6201572D" w14:textId="77777777" w:rsidR="00AE1260" w:rsidRDefault="00000000">
      <w:pPr>
        <w:pStyle w:val="Heading1"/>
      </w:pPr>
      <w:r>
        <w:t>7. Control and Governance Notes</w:t>
      </w:r>
    </w:p>
    <w:p w14:paraId="687A36C8" w14:textId="77777777" w:rsidR="00AE1260" w:rsidRDefault="00000000">
      <w:pPr>
        <w:pStyle w:val="ListBullet"/>
      </w:pPr>
      <w:r>
        <w:t>Deterministic legal rules remain the source of compliance-critical outcomes.</w:t>
      </w:r>
    </w:p>
    <w:p w14:paraId="339483E7" w14:textId="77777777" w:rsidR="00AE1260" w:rsidRDefault="00000000">
      <w:pPr>
        <w:pStyle w:val="ListBullet"/>
      </w:pPr>
      <w:r>
        <w:t>AI is assistive and advisory; reviewer actions are final and auditable.</w:t>
      </w:r>
    </w:p>
    <w:p w14:paraId="63950850" w14:textId="77777777" w:rsidR="00AE1260" w:rsidRDefault="00000000">
      <w:pPr>
        <w:pStyle w:val="ListBullet"/>
      </w:pPr>
      <w:r>
        <w:t>Role and district scoping controls still govern data visibility and actions.</w:t>
      </w:r>
    </w:p>
    <w:p w14:paraId="676CC545" w14:textId="77777777" w:rsidR="00AE1260" w:rsidRDefault="00000000">
      <w:pPr>
        <w:pStyle w:val="ListBullet"/>
      </w:pPr>
      <w:r>
        <w:t>Schema migrations are required for complete chargesheet analysis operation.</w:t>
      </w:r>
    </w:p>
    <w:sectPr w:rsidR="00AE12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269524">
    <w:abstractNumId w:val="8"/>
  </w:num>
  <w:num w:numId="2" w16cid:durableId="2010327738">
    <w:abstractNumId w:val="6"/>
  </w:num>
  <w:num w:numId="3" w16cid:durableId="1776897763">
    <w:abstractNumId w:val="5"/>
  </w:num>
  <w:num w:numId="4" w16cid:durableId="664624397">
    <w:abstractNumId w:val="4"/>
  </w:num>
  <w:num w:numId="5" w16cid:durableId="1183933907">
    <w:abstractNumId w:val="7"/>
  </w:num>
  <w:num w:numId="6" w16cid:durableId="479467222">
    <w:abstractNumId w:val="3"/>
  </w:num>
  <w:num w:numId="7" w16cid:durableId="560294489">
    <w:abstractNumId w:val="2"/>
  </w:num>
  <w:num w:numId="8" w16cid:durableId="426005306">
    <w:abstractNumId w:val="1"/>
  </w:num>
  <w:num w:numId="9" w16cid:durableId="347949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E1D"/>
    <w:rsid w:val="0029639D"/>
    <w:rsid w:val="00326F90"/>
    <w:rsid w:val="00AA1D8D"/>
    <w:rsid w:val="00AE1260"/>
    <w:rsid w:val="00B47730"/>
    <w:rsid w:val="00CB0664"/>
    <w:rsid w:val="00E009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491AE"/>
  <w14:defaultImageDpi w14:val="300"/>
  <w15:docId w15:val="{06652B0C-0708-41D2-9E5E-FF0A1B64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Prishiv Singh</cp:lastModifiedBy>
  <cp:revision>2</cp:revision>
  <dcterms:created xsi:type="dcterms:W3CDTF">2013-12-23T23:15:00Z</dcterms:created>
  <dcterms:modified xsi:type="dcterms:W3CDTF">2026-04-12T07:08:00Z</dcterms:modified>
  <cp:category/>
</cp:coreProperties>
</file>