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40" w:after="240"/>
      </w:pPr>
      <w:r>
        <w:rPr>
          <w:rFonts w:ascii="Aptos Display" w:hAnsi="Aptos Display"/>
          <w:b/>
          <w:color w:val="2F75B5"/>
          <w:sz w:val="30"/>
        </w:rPr>
        <w:t>PANDAX</w:t>
      </w:r>
    </w:p>
    <w:p>
      <w:pPr>
        <w:pStyle w:val="Title"/>
        <w:widowControl/>
      </w:pPr>
      <w:r>
        <w:t>PandaX Product API Specification</w:t>
      </w:r>
    </w:p>
    <w:p>
      <w:pPr>
        <w:pStyle w:val="Subtitle"/>
        <w:widowControl/>
      </w:pPr>
      <w:r>
        <w:t>Final product contract</w:t>
      </w:r>
    </w:p>
    <w:p>
      <w:pPr>
        <w:widowControl/>
        <w:spacing w:before="360" w:after="480"/>
      </w:pPr>
      <w:r>
        <w:rPr>
          <w:color w:val="666666"/>
          <w:sz w:val="26"/>
        </w:rPr>
        <w:t>A plain language description of what the PandaX product must do, together with the API actions that make those features available.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944"/>
            <w:shd w:fill="17365D"/>
            <w:tcMar>
              <w:top w:w="100" w:type="dxa"/>
              <w:left w:w="120" w:type="dxa"/>
              <w:bottom w:w="100" w:type="dxa"/>
              <w:right w:w="120" w:type="dxa"/>
            </w:tcMar>
            <w:vAlign w:val="center"/>
          </w:tcPr>
          <w:p>
            <w:pPr>
              <w:keepNext/>
            </w:pPr>
            <w:r>
              <w:rPr>
                <w:rFonts w:ascii="Aptos" w:hAnsi="Aptos"/>
                <w:b/>
                <w:color w:val="FFFFFF"/>
                <w:sz w:val="19"/>
              </w:rPr>
              <w:t>Item</w:t>
            </w:r>
          </w:p>
        </w:tc>
        <w:tc>
          <w:tcPr>
            <w:tcW w:type="dxa" w:w="8280"/>
            <w:shd w:fill="17365D"/>
            <w:tcMar>
              <w:top w:w="100" w:type="dxa"/>
              <w:left w:w="120" w:type="dxa"/>
              <w:bottom w:w="100" w:type="dxa"/>
              <w:right w:w="120" w:type="dxa"/>
            </w:tcMar>
            <w:vAlign w:val="center"/>
          </w:tcPr>
          <w:p>
            <w:pPr>
              <w:keepNext/>
            </w:pPr>
            <w:r>
              <w:rPr>
                <w:rFonts w:ascii="Aptos" w:hAnsi="Aptos"/>
                <w:b/>
                <w:color w:val="FFFFFF"/>
                <w:sz w:val="19"/>
              </w:rPr>
              <w:t>Value</w:t>
            </w:r>
          </w:p>
        </w:tc>
      </w:tr>
      <w:tr>
        <w:trPr>
          <w:cantSplit/>
        </w:trPr>
        <w:tc>
          <w:tcPr>
            <w:tcW w:type="dxa" w:w="1944"/>
            <w:shd w:fill="F4F8FC"/>
            <w:tcMar>
              <w:top w:w="90" w:type="dxa"/>
              <w:left w:w="120" w:type="dxa"/>
              <w:bottom w:w="90" w:type="dxa"/>
              <w:right w:w="120" w:type="dxa"/>
            </w:tcMar>
            <w:vAlign w:val="top"/>
          </w:tcPr>
          <w:p>
            <w:pPr>
              <w:spacing w:after="0"/>
            </w:pPr>
            <w:r>
              <w:rPr>
                <w:rFonts w:ascii="Aptos" w:hAnsi="Aptos"/>
                <w:sz w:val="18"/>
              </w:rPr>
              <w:t>Version</w:t>
            </w:r>
          </w:p>
        </w:tc>
        <w:tc>
          <w:tcPr>
            <w:tcW w:type="dxa" w:w="8280"/>
            <w:shd w:fill="F4F8FC"/>
            <w:tcMar>
              <w:top w:w="90" w:type="dxa"/>
              <w:left w:w="120" w:type="dxa"/>
              <w:bottom w:w="90" w:type="dxa"/>
              <w:right w:w="120" w:type="dxa"/>
            </w:tcMar>
            <w:vAlign w:val="top"/>
          </w:tcPr>
          <w:p>
            <w:r>
              <w:t>1.1</w:t>
            </w:r>
          </w:p>
        </w:tc>
      </w:tr>
      <w:tr>
        <w:trPr>
          <w:cantSplit/>
        </w:trPr>
        <w:tc>
          <w:tcPr>
            <w:tcW w:type="dxa" w:w="1944"/>
            <w:shd w:fill="FFFFFF"/>
            <w:tcMar>
              <w:top w:w="90" w:type="dxa"/>
              <w:left w:w="120" w:type="dxa"/>
              <w:bottom w:w="90" w:type="dxa"/>
              <w:right w:w="120" w:type="dxa"/>
            </w:tcMar>
            <w:vAlign w:val="top"/>
          </w:tcPr>
          <w:p>
            <w:pPr>
              <w:spacing w:after="0"/>
            </w:pPr>
            <w:r>
              <w:rPr>
                <w:rFonts w:ascii="Aptos" w:hAnsi="Aptos"/>
                <w:sz w:val="18"/>
              </w:rPr>
              <w:t>Status</w:t>
            </w:r>
          </w:p>
        </w:tc>
        <w:tc>
          <w:tcPr>
            <w:tcW w:type="dxa" w:w="8280"/>
            <w:shd w:fill="FFFFFF"/>
            <w:tcMar>
              <w:top w:w="90" w:type="dxa"/>
              <w:left w:w="120" w:type="dxa"/>
              <w:bottom w:w="90" w:type="dxa"/>
              <w:right w:w="120" w:type="dxa"/>
            </w:tcMar>
            <w:vAlign w:val="top"/>
          </w:tcPr>
          <w:p>
            <w:pPr>
              <w:spacing w:after="0"/>
            </w:pPr>
            <w:r>
              <w:rPr>
                <w:rFonts w:ascii="Aptos" w:hAnsi="Aptos"/>
                <w:sz w:val="18"/>
              </w:rPr>
              <w:t>Final product direction</w:t>
            </w:r>
          </w:p>
        </w:tc>
      </w:tr>
      <w:tr>
        <w:trPr>
          <w:cantSplit/>
        </w:trPr>
        <w:tc>
          <w:tcPr>
            <w:tcW w:type="dxa" w:w="1944"/>
            <w:shd w:fill="F4F8FC"/>
            <w:tcMar>
              <w:top w:w="90" w:type="dxa"/>
              <w:left w:w="120" w:type="dxa"/>
              <w:bottom w:w="90" w:type="dxa"/>
              <w:right w:w="120" w:type="dxa"/>
            </w:tcMar>
            <w:vAlign w:val="top"/>
          </w:tcPr>
          <w:p>
            <w:pPr>
              <w:spacing w:after="0"/>
            </w:pPr>
            <w:r>
              <w:rPr>
                <w:rFonts w:ascii="Aptos" w:hAnsi="Aptos"/>
                <w:sz w:val="18"/>
              </w:rPr>
              <w:t>Date</w:t>
            </w:r>
          </w:p>
        </w:tc>
        <w:tc>
          <w:tcPr>
            <w:tcW w:type="dxa" w:w="8280"/>
            <w:shd w:fill="F4F8FC"/>
            <w:tcMar>
              <w:top w:w="90" w:type="dxa"/>
              <w:left w:w="120" w:type="dxa"/>
              <w:bottom w:w="90" w:type="dxa"/>
              <w:right w:w="120" w:type="dxa"/>
            </w:tcMar>
            <w:vAlign w:val="top"/>
          </w:tcPr>
          <w:p>
            <w:pPr>
              <w:spacing w:after="0"/>
            </w:pPr>
            <w:r>
              <w:rPr>
                <w:rFonts w:ascii="Aptos" w:hAnsi="Aptos"/>
                <w:sz w:val="18"/>
              </w:rPr>
              <w:t>8 September 2026</w:t>
            </w:r>
          </w:p>
        </w:tc>
      </w:tr>
      <w:tr>
        <w:trPr>
          <w:cantSplit/>
        </w:trPr>
        <w:tc>
          <w:tcPr>
            <w:tcW w:type="dxa" w:w="1944"/>
            <w:shd w:fill="FFFFFF"/>
            <w:tcMar>
              <w:top w:w="90" w:type="dxa"/>
              <w:left w:w="120" w:type="dxa"/>
              <w:bottom w:w="90" w:type="dxa"/>
              <w:right w:w="120" w:type="dxa"/>
            </w:tcMar>
            <w:vAlign w:val="top"/>
          </w:tcPr>
          <w:p>
            <w:pPr>
              <w:spacing w:after="0"/>
            </w:pPr>
            <w:r>
              <w:rPr>
                <w:rFonts w:ascii="Aptos" w:hAnsi="Aptos"/>
                <w:sz w:val="18"/>
              </w:rPr>
              <w:t>Audience</w:t>
            </w:r>
          </w:p>
        </w:tc>
        <w:tc>
          <w:tcPr>
            <w:tcW w:type="dxa" w:w="8280"/>
            <w:shd w:fill="FFFFFF"/>
            <w:tcMar>
              <w:top w:w="90" w:type="dxa"/>
              <w:left w:w="120" w:type="dxa"/>
              <w:bottom w:w="90" w:type="dxa"/>
              <w:right w:w="120" w:type="dxa"/>
            </w:tcMar>
            <w:vAlign w:val="top"/>
          </w:tcPr>
          <w:p>
            <w:pPr>
              <w:spacing w:after="0"/>
            </w:pPr>
            <w:r>
              <w:rPr>
                <w:rFonts w:ascii="Aptos" w:hAnsi="Aptos"/>
                <w:sz w:val="18"/>
              </w:rPr>
              <w:t>Product, design, engineering, security, compliance, and business teams</w:t>
            </w:r>
          </w:p>
        </w:tc>
      </w:tr>
      <w:tr>
        <w:trPr>
          <w:cantSplit/>
        </w:trPr>
        <w:tc>
          <w:tcPr>
            <w:tcW w:type="dxa" w:w="1944"/>
            <w:shd w:fill="F4F8FC"/>
            <w:tcMar>
              <w:top w:w="90" w:type="dxa"/>
              <w:left w:w="120" w:type="dxa"/>
              <w:bottom w:w="90" w:type="dxa"/>
              <w:right w:w="120" w:type="dxa"/>
            </w:tcMar>
            <w:vAlign w:val="top"/>
          </w:tcPr>
          <w:p>
            <w:pPr>
              <w:spacing w:after="0"/>
            </w:pPr>
            <w:r>
              <w:rPr>
                <w:rFonts w:ascii="Aptos" w:hAnsi="Aptos"/>
                <w:sz w:val="18"/>
              </w:rPr>
              <w:t>Scope</w:t>
            </w:r>
          </w:p>
        </w:tc>
        <w:tc>
          <w:tcPr>
            <w:tcW w:type="dxa" w:w="8280"/>
            <w:shd w:fill="F4F8FC"/>
            <w:tcMar>
              <w:top w:w="90" w:type="dxa"/>
              <w:left w:w="120" w:type="dxa"/>
              <w:bottom w:w="90" w:type="dxa"/>
              <w:right w:w="120" w:type="dxa"/>
            </w:tcMar>
            <w:vAlign w:val="top"/>
          </w:tcPr>
          <w:p>
            <w:pPr>
              <w:spacing w:after="0"/>
            </w:pPr>
            <w:r>
              <w:rPr>
                <w:rFonts w:ascii="Aptos" w:hAnsi="Aptos"/>
                <w:sz w:val="18"/>
              </w:rPr>
              <w:t>The PandaX product only. Marketing pages, billing, and unrelated company systems are excluded.</w:t>
            </w:r>
          </w:p>
        </w:tc>
      </w:tr>
    </w:tbl>
    <w:p>
      <w:pPr>
        <w:widowControl/>
        <w:spacing w:after="20"/>
      </w:pPr>
    </w:p>
    <w:p>
      <w:pPr>
        <w:pStyle w:val="SmallNote"/>
        <w:widowControl/>
      </w:pPr>
      <w:r>
        <w:t>This specification is a product contract, not legal advice. Regulatory wording and reporting rules must remain versioned and reviewed by qualified counsel.</w:t>
      </w:r>
    </w:p>
    <w:p>
      <w:pPr>
        <w:widowControl/>
      </w:pPr>
      <w:r>
        <w:br w:type="page"/>
      </w:r>
    </w:p>
    <w:p>
      <w:pPr>
        <w:pStyle w:val="Heading1"/>
        <w:widowControl/>
      </w:pPr>
      <w:r>
        <w:t>Contents</w:t>
      </w:r>
    </w:p>
    <w:p>
      <w:pPr>
        <w:pStyle w:val="ListBullet"/>
        <w:widowControl/>
      </w:pPr>
      <w:r>
        <w:t>1 Product purpose</w:t>
      </w:r>
    </w:p>
    <w:p>
      <w:pPr>
        <w:pStyle w:val="ListBullet"/>
        <w:widowControl/>
      </w:pPr>
      <w:r>
        <w:t>2 Product boundaries and final decisions</w:t>
      </w:r>
    </w:p>
    <w:p>
      <w:pPr>
        <w:pStyle w:val="ListBullet"/>
        <w:widowControl/>
      </w:pPr>
      <w:r>
        <w:t>3 The customer journey</w:t>
      </w:r>
    </w:p>
    <w:p>
      <w:pPr>
        <w:pStyle w:val="ListBullet"/>
        <w:widowControl/>
      </w:pPr>
      <w:r>
        <w:t>4 Main information records</w:t>
      </w:r>
    </w:p>
    <w:p>
      <w:pPr>
        <w:pStyle w:val="ListBullet"/>
        <w:widowControl/>
      </w:pPr>
      <w:r>
        <w:t>5 Rules shared by every API action</w:t>
      </w:r>
    </w:p>
    <w:p>
      <w:pPr>
        <w:pStyle w:val="ListBullet"/>
        <w:widowControl/>
      </w:pPr>
      <w:r>
        <w:t>6 Organizations products and releases</w:t>
      </w:r>
    </w:p>
    <w:p>
      <w:pPr>
        <w:pStyle w:val="ListBullet"/>
        <w:widowControl/>
      </w:pPr>
      <w:r>
        <w:t>7 Artifacts software bills of materials and scans</w:t>
      </w:r>
    </w:p>
    <w:p>
      <w:pPr>
        <w:pStyle w:val="ListBullet"/>
        <w:widowControl/>
      </w:pPr>
      <w:r>
        <w:t>8 Coverage findings and decisions</w:t>
      </w:r>
    </w:p>
    <w:p>
      <w:pPr>
        <w:pStyle w:val="ListBullet"/>
        <w:widowControl/>
      </w:pPr>
      <w:r>
        <w:t>9 Continuous monitoring</w:t>
      </w:r>
    </w:p>
    <w:p>
      <w:pPr>
        <w:pStyle w:val="ListBullet"/>
        <w:widowControl/>
      </w:pPr>
      <w:r>
        <w:t>10 Regulatory cases and deadlines</w:t>
      </w:r>
    </w:p>
    <w:p>
      <w:pPr>
        <w:pStyle w:val="ListBullet"/>
        <w:widowControl/>
      </w:pPr>
      <w:r>
        <w:t>11 Reports review and submission evidence</w:t>
      </w:r>
    </w:p>
    <w:p>
      <w:pPr>
        <w:pStyle w:val="ListBullet"/>
        <w:widowControl/>
      </w:pPr>
      <w:r>
        <w:t>12 Conformity documents and evidence bundles</w:t>
      </w:r>
    </w:p>
    <w:p>
      <w:pPr>
        <w:pStyle w:val="ListBullet"/>
        <w:widowControl/>
      </w:pPr>
      <w:r>
        <w:t>13 Compliance overview and notifications</w:t>
      </w:r>
    </w:p>
    <w:p>
      <w:pPr>
        <w:pStyle w:val="ListBullet"/>
        <w:widowControl/>
      </w:pPr>
      <w:r>
        <w:t>14 Launch scope and later work</w:t>
      </w:r>
    </w:p>
    <w:p>
      <w:pPr>
        <w:pStyle w:val="ListBullet"/>
        <w:widowControl/>
      </w:pPr>
      <w:r>
        <w:t>15 Example journeys</w:t>
      </w:r>
    </w:p>
    <w:p>
      <w:pPr>
        <w:pStyle w:val="ListBullet"/>
        <w:widowControl/>
      </w:pPr>
      <w:r>
        <w:t>16 Current build roadmap and final API comparison</w:t>
      </w:r>
    </w:p>
    <w:p>
      <w:pPr>
        <w:pStyle w:val="ListBullet"/>
        <w:widowControl/>
      </w:pPr>
      <w:r>
        <w:t>17 Reference statuses events and errors</w:t>
      </w:r>
    </w:p>
    <w:p>
      <w:pPr>
        <w:pStyle w:val="ListBullet"/>
        <w:widowControl/>
      </w:pPr>
      <w:r>
        <w:t>18 Sources and change control</w:t>
      </w:r>
    </w:p>
    <w:p>
      <w:pPr>
        <w:pStyle w:val="SmallNote"/>
        <w:widowControl/>
      </w:pPr>
      <w:r>
        <w:t>Readers who do not work with software APIs can focus on sections 1 to 4, the first paragraph of each feature section, and sections 14 to 16.</w:t>
      </w:r>
    </w:p>
    <w:p>
      <w:pPr>
        <w:pStyle w:val="Heading1"/>
        <w:widowControl/>
      </w:pPr>
      <w:r>
        <w:t>1 Product purpose</w:t>
      </w:r>
    </w:p>
    <w:p>
      <w:pPr>
        <w:widowControl/>
      </w:pPr>
      <w:r>
        <w:t>PandaX helps a manufacturer understand the software inside a product, identify security issues, decide what those issues mean for that specific product, manage Cyber Resilience Act reporting work, and keep evidence of what was done.</w:t>
      </w:r>
    </w:p>
    <w:p>
      <w:pPr>
        <w:widowControl/>
      </w:pPr>
      <w:r>
        <w:t>The API is the agreed set of actions behind the product. The web application, command line, and future integrations should all use the same actions and receive the same answers.</w:t>
      </w:r>
    </w:p>
    <w:p>
      <w:pPr>
        <w:pStyle w:val="Heading2"/>
        <w:widowControl/>
      </w:pPr>
      <w:r>
        <w:t>What success looks like</w:t>
      </w:r>
    </w:p>
    <w:p>
      <w:pPr>
        <w:pStyle w:val="ListBullet"/>
        <w:widowControl/>
      </w:pPr>
      <w:r>
        <w:t>A product and its releases are easy to identify and trace over time.</w:t>
      </w:r>
    </w:p>
    <w:p>
      <w:pPr>
        <w:pStyle w:val="ListBullet"/>
        <w:widowControl/>
      </w:pPr>
      <w:r>
        <w:t>Every scan states what it could and could not inspect. No findings never means no risk unless coverage supports that conclusion.</w:t>
      </w:r>
    </w:p>
    <w:p>
      <w:pPr>
        <w:pStyle w:val="ListBullet"/>
        <w:widowControl/>
      </w:pPr>
      <w:r>
        <w:t>A vulnerability match, whether the product is affected, whether vulnerable code is reachable, and whether the matter is reportable are separate decisions.</w:t>
      </w:r>
    </w:p>
    <w:p>
      <w:pPr>
        <w:pStyle w:val="ListBullet"/>
        <w:widowControl/>
      </w:pPr>
      <w:r>
        <w:t>Regulatory clocks start from a recorded awareness decision, not automatically from a scanner timestamp.</w:t>
      </w:r>
    </w:p>
    <w:p>
      <w:pPr>
        <w:pStyle w:val="ListBullet"/>
        <w:widowControl/>
      </w:pPr>
      <w:r>
        <w:t>Reports are approved by an authorized customer-company user through the PandaX dashboard or CLI. A named PandaX Assigned Representative can then file through the official ENISA portal. The company remains responsible, and PandaX records the receipt.</w:t>
      </w:r>
    </w:p>
    <w:p>
      <w:pPr>
        <w:pStyle w:val="ListBullet"/>
        <w:widowControl/>
      </w:pPr>
      <w:r>
        <w:t>Evidence can be checked independently, including against a trusted key that is not stored only inside the same evidence bundle.</w:t>
      </w:r>
    </w:p>
    <w:p>
      <w:pPr>
        <w:pStyle w:val="Heading1"/>
        <w:widowControl/>
      </w:pPr>
      <w:r>
        <w:t>2 Product boundaries and final decisions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088"/>
            <w:shd w:fill="17365D"/>
            <w:tcMar>
              <w:top w:w="100" w:type="dxa"/>
              <w:left w:w="120" w:type="dxa"/>
              <w:bottom w:w="100" w:type="dxa"/>
              <w:right w:w="120" w:type="dxa"/>
            </w:tcMar>
            <w:vAlign w:val="center"/>
          </w:tcPr>
          <w:p>
            <w:pPr>
              <w:keepNext/>
            </w:pPr>
            <w:r>
              <w:rPr>
                <w:rFonts w:ascii="Aptos" w:hAnsi="Aptos"/>
                <w:b/>
                <w:color w:val="FFFFFF"/>
                <w:sz w:val="19"/>
              </w:rPr>
              <w:t>Decision</w:t>
            </w:r>
          </w:p>
        </w:tc>
        <w:tc>
          <w:tcPr>
            <w:tcW w:type="dxa" w:w="3384"/>
            <w:shd w:fill="17365D"/>
            <w:tcMar>
              <w:top w:w="100" w:type="dxa"/>
              <w:left w:w="120" w:type="dxa"/>
              <w:bottom w:w="100" w:type="dxa"/>
              <w:right w:w="120" w:type="dxa"/>
            </w:tcMar>
            <w:vAlign w:val="center"/>
          </w:tcPr>
          <w:p>
            <w:pPr>
              <w:keepNext/>
            </w:pPr>
            <w:r>
              <w:rPr>
                <w:rFonts w:ascii="Aptos" w:hAnsi="Aptos"/>
                <w:b/>
                <w:color w:val="FFFFFF"/>
                <w:sz w:val="19"/>
              </w:rPr>
              <w:t>Final direction</w:t>
            </w:r>
          </w:p>
        </w:tc>
        <w:tc>
          <w:tcPr>
            <w:tcW w:type="dxa" w:w="4680"/>
            <w:shd w:fill="17365D"/>
            <w:tcMar>
              <w:top w:w="100" w:type="dxa"/>
              <w:left w:w="120" w:type="dxa"/>
              <w:bottom w:w="100" w:type="dxa"/>
              <w:right w:w="120" w:type="dxa"/>
            </w:tcMar>
            <w:vAlign w:val="center"/>
          </w:tcPr>
          <w:p>
            <w:pPr>
              <w:keepNext/>
            </w:pPr>
            <w:r>
              <w:rPr>
                <w:rFonts w:ascii="Aptos" w:hAnsi="Aptos"/>
                <w:b/>
                <w:color w:val="FFFFFF"/>
                <w:sz w:val="19"/>
              </w:rPr>
              <w:t>Reason</w:t>
            </w:r>
          </w:p>
        </w:tc>
      </w:tr>
      <w:tr>
        <w:trPr>
          <w:cantSplit/>
        </w:trPr>
        <w:tc>
          <w:tcPr>
            <w:tcW w:type="dxa" w:w="2088"/>
            <w:shd w:fill="F4F8FC"/>
            <w:tcMar>
              <w:top w:w="90" w:type="dxa"/>
              <w:left w:w="120" w:type="dxa"/>
              <w:bottom w:w="90" w:type="dxa"/>
              <w:right w:w="120" w:type="dxa"/>
            </w:tcMar>
            <w:vAlign w:val="top"/>
          </w:tcPr>
          <w:p>
            <w:pPr>
              <w:spacing w:after="0"/>
            </w:pPr>
            <w:r>
              <w:rPr>
                <w:rFonts w:ascii="Aptos" w:hAnsi="Aptos"/>
                <w:sz w:val="18"/>
              </w:rPr>
              <w:t>PandaX role</w:t>
            </w:r>
          </w:p>
        </w:tc>
        <w:tc>
          <w:tcPr>
            <w:tcW w:type="dxa" w:w="3384"/>
            <w:shd w:fill="F4F8FC"/>
            <w:tcMar>
              <w:top w:w="90" w:type="dxa"/>
              <w:left w:w="120" w:type="dxa"/>
              <w:bottom w:w="90" w:type="dxa"/>
              <w:right w:w="120" w:type="dxa"/>
            </w:tcMar>
            <w:vAlign w:val="top"/>
          </w:tcPr>
          <w:p>
            <w:pPr>
              <w:spacing w:after="0"/>
            </w:pPr>
            <w:r>
              <w:rPr>
                <w:rFonts w:ascii="Aptos" w:hAnsi="Aptos"/>
                <w:sz w:val="18"/>
              </w:rPr>
              <w:t>Decision support and evidence management</w:t>
            </w:r>
          </w:p>
        </w:tc>
        <w:tc>
          <w:tcPr>
            <w:tcW w:type="dxa" w:w="4680"/>
            <w:shd w:fill="F4F8FC"/>
            <w:tcMar>
              <w:top w:w="90" w:type="dxa"/>
              <w:left w:w="120" w:type="dxa"/>
              <w:bottom w:w="90" w:type="dxa"/>
              <w:right w:w="120" w:type="dxa"/>
            </w:tcMar>
            <w:vAlign w:val="top"/>
          </w:tcPr>
          <w:p>
            <w:pPr>
              <w:spacing w:after="0"/>
            </w:pPr>
            <w:r>
              <w:rPr>
                <w:rFonts w:ascii="Aptos" w:hAnsi="Aptos"/>
                <w:sz w:val="18"/>
              </w:rPr>
              <w:t>The manufacturer remains responsible for product and regulatory decisions.</w:t>
            </w:r>
          </w:p>
        </w:tc>
      </w:tr>
      <w:tr>
        <w:trPr>
          <w:cantSplit/>
        </w:trPr>
        <w:tc>
          <w:tcPr>
            <w:tcW w:type="dxa" w:w="2088"/>
            <w:shd w:fill="FFFFFF"/>
            <w:tcMar>
              <w:top w:w="90" w:type="dxa"/>
              <w:left w:w="120" w:type="dxa"/>
              <w:bottom w:w="90" w:type="dxa"/>
              <w:right w:w="120" w:type="dxa"/>
            </w:tcMar>
            <w:vAlign w:val="top"/>
          </w:tcPr>
          <w:p>
            <w:pPr>
              <w:spacing w:after="0"/>
            </w:pPr>
            <w:r>
              <w:rPr>
                <w:rFonts w:ascii="Aptos" w:hAnsi="Aptos"/>
                <w:sz w:val="18"/>
              </w:rPr>
              <w:t>Regulatory submission</w:t>
            </w:r>
          </w:p>
        </w:tc>
        <w:tc>
          <w:tcPr>
            <w:tcW w:type="dxa" w:w="3384"/>
            <w:shd w:fill="FFFFFF"/>
            <w:tcMar>
              <w:top w:w="90" w:type="dxa"/>
              <w:left w:w="120" w:type="dxa"/>
              <w:bottom w:w="90" w:type="dxa"/>
              <w:right w:w="120" w:type="dxa"/>
            </w:tcMar>
            <w:vAlign w:val="top"/>
          </w:tcPr>
          <w:p>
            <w:pPr>
              <w:spacing w:after="0"/>
            </w:pPr>
            <w:r>
              <w:rPr>
                <w:rFonts w:ascii="Aptos" w:hAnsi="Aptos"/>
                <w:sz w:val="18"/>
              </w:rPr>
              <w:t>Customer approves in PandaX. When authorized in the SRP, a named PandaX Assigned Representative files through the portal and records the receipt. Customer self-filing remains a fallback.</w:t>
            </w:r>
          </w:p>
        </w:tc>
        <w:tc>
          <w:tcPr>
            <w:tcW w:type="dxa" w:w="4680"/>
            <w:shd w:fill="FFFFFF"/>
            <w:tcMar>
              <w:top w:w="90" w:type="dxa"/>
              <w:left w:w="120" w:type="dxa"/>
              <w:bottom w:w="90" w:type="dxa"/>
              <w:right w:w="120" w:type="dxa"/>
            </w:tcMar>
            <w:vAlign w:val="top"/>
          </w:tcPr>
          <w:p>
            <w:pPr>
              <w:spacing w:after="0"/>
            </w:pPr>
            <w:r>
              <w:rPr>
                <w:rFonts w:ascii="Aptos" w:hAnsi="Aptos"/>
                <w:sz w:val="18"/>
              </w:rPr>
              <w:t>ENISA provides no submission API at launch, but its portal supports Assigned Representatives associated with a manufacturer.</w:t>
            </w:r>
          </w:p>
        </w:tc>
      </w:tr>
      <w:tr>
        <w:trPr>
          <w:cantSplit/>
        </w:trPr>
        <w:tc>
          <w:tcPr>
            <w:tcW w:type="dxa" w:w="2088"/>
            <w:shd w:fill="F4F8FC"/>
            <w:tcMar>
              <w:top w:w="90" w:type="dxa"/>
              <w:left w:w="120" w:type="dxa"/>
              <w:bottom w:w="90" w:type="dxa"/>
              <w:right w:w="120" w:type="dxa"/>
            </w:tcMar>
            <w:vAlign w:val="top"/>
          </w:tcPr>
          <w:p>
            <w:pPr>
              <w:spacing w:after="0"/>
            </w:pPr>
            <w:r>
              <w:rPr>
                <w:rFonts w:ascii="Aptos" w:hAnsi="Aptos"/>
                <w:sz w:val="18"/>
              </w:rPr>
              <w:t>Reporting trigger</w:t>
            </w:r>
          </w:p>
        </w:tc>
        <w:tc>
          <w:tcPr>
            <w:tcW w:type="dxa" w:w="3384"/>
            <w:shd w:fill="F4F8FC"/>
            <w:tcMar>
              <w:top w:w="90" w:type="dxa"/>
              <w:left w:w="120" w:type="dxa"/>
              <w:bottom w:w="90" w:type="dxa"/>
              <w:right w:w="120" w:type="dxa"/>
            </w:tcMar>
            <w:vAlign w:val="top"/>
          </w:tcPr>
          <w:p>
            <w:pPr>
              <w:spacing w:after="0"/>
            </w:pPr>
            <w:r>
              <w:rPr>
                <w:rFonts w:ascii="Aptos" w:hAnsi="Aptos"/>
                <w:sz w:val="18"/>
              </w:rPr>
              <w:t>A named awareness record</w:t>
            </w:r>
          </w:p>
        </w:tc>
        <w:tc>
          <w:tcPr>
            <w:tcW w:type="dxa" w:w="4680"/>
            <w:shd w:fill="F4F8FC"/>
            <w:tcMar>
              <w:top w:w="90" w:type="dxa"/>
              <w:left w:w="120" w:type="dxa"/>
              <w:bottom w:w="90" w:type="dxa"/>
              <w:right w:w="120" w:type="dxa"/>
            </w:tcMar>
            <w:vAlign w:val="top"/>
          </w:tcPr>
          <w:p>
            <w:pPr>
              <w:spacing w:after="0"/>
            </w:pPr>
            <w:r>
              <w:rPr>
                <w:rFonts w:ascii="Aptos" w:hAnsi="Aptos"/>
                <w:sz w:val="18"/>
              </w:rPr>
              <w:t>Detection can happen earlier; the legal clock depends on when the manufacturer became aware.</w:t>
            </w:r>
          </w:p>
        </w:tc>
      </w:tr>
      <w:tr>
        <w:trPr>
          <w:cantSplit/>
        </w:trPr>
        <w:tc>
          <w:tcPr>
            <w:tcW w:type="dxa" w:w="2088"/>
            <w:shd w:fill="FFFFFF"/>
            <w:tcMar>
              <w:top w:w="90" w:type="dxa"/>
              <w:left w:w="120" w:type="dxa"/>
              <w:bottom w:w="90" w:type="dxa"/>
              <w:right w:w="120" w:type="dxa"/>
            </w:tcMar>
            <w:vAlign w:val="top"/>
          </w:tcPr>
          <w:p>
            <w:pPr>
              <w:spacing w:after="0"/>
            </w:pPr>
            <w:r>
              <w:rPr>
                <w:rFonts w:ascii="Aptos" w:hAnsi="Aptos"/>
                <w:sz w:val="18"/>
              </w:rPr>
              <w:t>Security decision fields</w:t>
            </w:r>
          </w:p>
        </w:tc>
        <w:tc>
          <w:tcPr>
            <w:tcW w:type="dxa" w:w="3384"/>
            <w:shd w:fill="FFFFFF"/>
            <w:tcMar>
              <w:top w:w="90" w:type="dxa"/>
              <w:left w:w="120" w:type="dxa"/>
              <w:bottom w:w="90" w:type="dxa"/>
              <w:right w:w="120" w:type="dxa"/>
            </w:tcMar>
            <w:vAlign w:val="top"/>
          </w:tcPr>
          <w:p>
            <w:pPr>
              <w:spacing w:after="0"/>
            </w:pPr>
            <w:r>
              <w:rPr>
                <w:rFonts w:ascii="Aptos" w:hAnsi="Aptos"/>
                <w:sz w:val="18"/>
              </w:rPr>
              <w:t>Keep match, affectedness, reachability, and reportability separate</w:t>
            </w:r>
          </w:p>
        </w:tc>
        <w:tc>
          <w:tcPr>
            <w:tcW w:type="dxa" w:w="4680"/>
            <w:shd w:fill="FFFFFF"/>
            <w:tcMar>
              <w:top w:w="90" w:type="dxa"/>
              <w:left w:w="120" w:type="dxa"/>
              <w:bottom w:w="90" w:type="dxa"/>
              <w:right w:w="120" w:type="dxa"/>
            </w:tcMar>
            <w:vAlign w:val="top"/>
          </w:tcPr>
          <w:p>
            <w:pPr>
              <w:spacing w:after="0"/>
            </w:pPr>
            <w:r>
              <w:rPr>
                <w:rFonts w:ascii="Aptos" w:hAnsi="Aptos"/>
                <w:sz w:val="18"/>
              </w:rPr>
              <w:t>One combined status hides important reasoning and makes audits difficult.</w:t>
            </w:r>
          </w:p>
        </w:tc>
      </w:tr>
      <w:tr>
        <w:trPr>
          <w:cantSplit/>
        </w:trPr>
        <w:tc>
          <w:tcPr>
            <w:tcW w:type="dxa" w:w="2088"/>
            <w:shd w:fill="F4F8FC"/>
            <w:tcMar>
              <w:top w:w="90" w:type="dxa"/>
              <w:left w:w="120" w:type="dxa"/>
              <w:bottom w:w="90" w:type="dxa"/>
              <w:right w:w="120" w:type="dxa"/>
            </w:tcMar>
            <w:vAlign w:val="top"/>
          </w:tcPr>
          <w:p>
            <w:pPr>
              <w:spacing w:after="0"/>
            </w:pPr>
            <w:r>
              <w:rPr>
                <w:rFonts w:ascii="Aptos" w:hAnsi="Aptos"/>
                <w:sz w:val="18"/>
              </w:rPr>
              <w:t>Product structure</w:t>
            </w:r>
          </w:p>
        </w:tc>
        <w:tc>
          <w:tcPr>
            <w:tcW w:type="dxa" w:w="3384"/>
            <w:shd w:fill="F4F8FC"/>
            <w:tcMar>
              <w:top w:w="90" w:type="dxa"/>
              <w:left w:w="120" w:type="dxa"/>
              <w:bottom w:w="90" w:type="dxa"/>
              <w:right w:w="120" w:type="dxa"/>
            </w:tcMar>
            <w:vAlign w:val="top"/>
          </w:tcPr>
          <w:p>
            <w:pPr>
              <w:spacing w:after="0"/>
            </w:pPr>
            <w:r>
              <w:rPr>
                <w:rFonts w:ascii="Aptos" w:hAnsi="Aptos"/>
                <w:sz w:val="18"/>
              </w:rPr>
              <w:t>Organization then product then release</w:t>
            </w:r>
          </w:p>
        </w:tc>
        <w:tc>
          <w:tcPr>
            <w:tcW w:type="dxa" w:w="4680"/>
            <w:shd w:fill="F4F8FC"/>
            <w:tcMar>
              <w:top w:w="90" w:type="dxa"/>
              <w:left w:w="120" w:type="dxa"/>
              <w:bottom w:w="90" w:type="dxa"/>
              <w:right w:w="120" w:type="dxa"/>
            </w:tcMar>
            <w:vAlign w:val="top"/>
          </w:tcPr>
          <w:p>
            <w:pPr>
              <w:spacing w:after="0"/>
            </w:pPr>
            <w:r>
              <w:rPr>
                <w:rFonts w:ascii="Aptos" w:hAnsi="Aptos"/>
                <w:sz w:val="18"/>
              </w:rPr>
              <w:t>Scans and reports must be connected to the exact product version placed on the market.</w:t>
            </w:r>
          </w:p>
        </w:tc>
      </w:tr>
      <w:tr>
        <w:trPr>
          <w:cantSplit/>
        </w:trPr>
        <w:tc>
          <w:tcPr>
            <w:tcW w:type="dxa" w:w="2088"/>
            <w:shd w:fill="FFFFFF"/>
            <w:tcMar>
              <w:top w:w="90" w:type="dxa"/>
              <w:left w:w="120" w:type="dxa"/>
              <w:bottom w:w="90" w:type="dxa"/>
              <w:right w:w="120" w:type="dxa"/>
            </w:tcMar>
            <w:vAlign w:val="top"/>
          </w:tcPr>
          <w:p>
            <w:pPr>
              <w:spacing w:after="0"/>
            </w:pPr>
            <w:r>
              <w:rPr>
                <w:rFonts w:ascii="Aptos" w:hAnsi="Aptos"/>
                <w:sz w:val="18"/>
              </w:rPr>
              <w:t>Case history</w:t>
            </w:r>
          </w:p>
        </w:tc>
        <w:tc>
          <w:tcPr>
            <w:tcW w:type="dxa" w:w="3384"/>
            <w:shd w:fill="FFFFFF"/>
            <w:tcMar>
              <w:top w:w="90" w:type="dxa"/>
              <w:left w:w="120" w:type="dxa"/>
              <w:bottom w:w="90" w:type="dxa"/>
              <w:right w:w="120" w:type="dxa"/>
            </w:tcMar>
            <w:vAlign w:val="top"/>
          </w:tcPr>
          <w:p>
            <w:pPr>
              <w:spacing w:after="0"/>
            </w:pPr>
            <w:r>
              <w:rPr>
                <w:rFonts w:ascii="Aptos" w:hAnsi="Aptos"/>
                <w:sz w:val="18"/>
              </w:rPr>
              <w:t>Durable cases, events, and report revisions</w:t>
            </w:r>
          </w:p>
        </w:tc>
        <w:tc>
          <w:tcPr>
            <w:tcW w:type="dxa" w:w="4680"/>
            <w:shd w:fill="FFFFFF"/>
            <w:tcMar>
              <w:top w:w="90" w:type="dxa"/>
              <w:left w:w="120" w:type="dxa"/>
              <w:bottom w:w="90" w:type="dxa"/>
              <w:right w:w="120" w:type="dxa"/>
            </w:tcMar>
            <w:vAlign w:val="top"/>
          </w:tcPr>
          <w:p>
            <w:pPr>
              <w:spacing w:after="0"/>
            </w:pPr>
            <w:r>
              <w:rPr>
                <w:rFonts w:ascii="Aptos" w:hAnsi="Aptos"/>
                <w:sz w:val="18"/>
              </w:rPr>
              <w:t>The updated code already proves this model and it should remain central.</w:t>
            </w:r>
          </w:p>
        </w:tc>
      </w:tr>
      <w:tr>
        <w:trPr>
          <w:cantSplit/>
        </w:trPr>
        <w:tc>
          <w:tcPr>
            <w:tcW w:type="dxa" w:w="2088"/>
            <w:shd w:fill="F4F8FC"/>
            <w:tcMar>
              <w:top w:w="90" w:type="dxa"/>
              <w:left w:w="120" w:type="dxa"/>
              <w:bottom w:w="90" w:type="dxa"/>
              <w:right w:w="120" w:type="dxa"/>
            </w:tcMar>
            <w:vAlign w:val="top"/>
          </w:tcPr>
          <w:p>
            <w:pPr>
              <w:spacing w:after="0"/>
            </w:pPr>
            <w:r>
              <w:rPr>
                <w:rFonts w:ascii="Aptos" w:hAnsi="Aptos"/>
                <w:sz w:val="18"/>
              </w:rPr>
              <w:t>Human control</w:t>
            </w:r>
          </w:p>
        </w:tc>
        <w:tc>
          <w:tcPr>
            <w:tcW w:type="dxa" w:w="3384"/>
            <w:shd w:fill="F4F8FC"/>
            <w:tcMar>
              <w:top w:w="90" w:type="dxa"/>
              <w:left w:w="120" w:type="dxa"/>
              <w:bottom w:w="90" w:type="dxa"/>
              <w:right w:w="120" w:type="dxa"/>
            </w:tcMar>
            <w:vAlign w:val="top"/>
          </w:tcPr>
          <w:p>
            <w:pPr>
              <w:spacing w:after="0"/>
            </w:pPr>
            <w:r>
              <w:t>Approval by an authorized customer company user</w:t>
            </w:r>
          </w:p>
        </w:tc>
        <w:tc>
          <w:tcPr>
            <w:tcW w:type="dxa" w:w="4680"/>
            <w:shd w:fill="F4F8FC"/>
            <w:tcMar>
              <w:top w:w="90" w:type="dxa"/>
              <w:left w:w="120" w:type="dxa"/>
              <w:bottom w:w="90" w:type="dxa"/>
              <w:right w:w="120" w:type="dxa"/>
            </w:tcMar>
            <w:vAlign w:val="top"/>
          </w:tcPr>
          <w:p>
            <w:pPr>
              <w:spacing w:after="0"/>
            </w:pPr>
            <w:r>
              <w:rPr>
                <w:rFonts w:ascii="Aptos" w:hAnsi="Aptos"/>
                <w:sz w:val="18"/>
              </w:rPr>
              <w:t>PandaX may suggest but must not silently make regulatory decisions.</w:t>
            </w:r>
          </w:p>
        </w:tc>
      </w:tr>
      <w:tr>
        <w:trPr>
          <w:cantSplit/>
        </w:trPr>
        <w:tc>
          <w:tcPr>
            <w:tcW w:type="dxa" w:w="2088"/>
            <w:shd w:fill="FFFFFF"/>
            <w:tcMar>
              <w:top w:w="90" w:type="dxa"/>
              <w:left w:w="120" w:type="dxa"/>
              <w:bottom w:w="90" w:type="dxa"/>
              <w:right w:w="120" w:type="dxa"/>
            </w:tcMar>
            <w:vAlign w:val="top"/>
          </w:tcPr>
          <w:p>
            <w:pPr>
              <w:spacing w:after="0"/>
            </w:pPr>
            <w:r>
              <w:rPr>
                <w:rFonts w:ascii="Aptos" w:hAnsi="Aptos"/>
                <w:sz w:val="18"/>
              </w:rPr>
              <w:t>Evidence trust</w:t>
            </w:r>
          </w:p>
        </w:tc>
        <w:tc>
          <w:tcPr>
            <w:tcW w:type="dxa" w:w="3384"/>
            <w:shd w:fill="FFFFFF"/>
            <w:tcMar>
              <w:top w:w="90" w:type="dxa"/>
              <w:left w:w="120" w:type="dxa"/>
              <w:bottom w:w="90" w:type="dxa"/>
              <w:right w:w="120" w:type="dxa"/>
            </w:tcMar>
            <w:vAlign w:val="top"/>
          </w:tcPr>
          <w:p>
            <w:pPr>
              <w:spacing w:after="0"/>
            </w:pPr>
            <w:r>
              <w:rPr>
                <w:rFonts w:ascii="Aptos" w:hAnsi="Aptos"/>
                <w:sz w:val="18"/>
              </w:rPr>
              <w:t>Integrity check plus external trust check</w:t>
            </w:r>
          </w:p>
        </w:tc>
        <w:tc>
          <w:tcPr>
            <w:tcW w:type="dxa" w:w="4680"/>
            <w:shd w:fill="FFFFFF"/>
            <w:tcMar>
              <w:top w:w="90" w:type="dxa"/>
              <w:left w:w="120" w:type="dxa"/>
              <w:bottom w:w="90" w:type="dxa"/>
              <w:right w:w="120" w:type="dxa"/>
            </w:tcMar>
            <w:vAlign w:val="top"/>
          </w:tcPr>
          <w:p>
            <w:pPr>
              <w:spacing w:after="0"/>
            </w:pPr>
            <w:r>
              <w:rPr>
                <w:rFonts w:ascii="Aptos" w:hAnsi="Aptos"/>
                <w:sz w:val="18"/>
              </w:rPr>
              <w:t>A file proving itself is unchanged is not the same as proving who signed it.</w:t>
            </w:r>
          </w:p>
        </w:tc>
      </w:tr>
      <w:tr>
        <w:trPr>
          <w:cantSplit/>
        </w:trPr>
        <w:tc>
          <w:tcPr>
            <w:tcW w:type="dxa" w:w="2088"/>
            <w:shd w:fill="F4F8FC"/>
            <w:tcMar>
              <w:top w:w="90" w:type="dxa"/>
              <w:left w:w="120" w:type="dxa"/>
              <w:bottom w:w="90" w:type="dxa"/>
              <w:right w:w="120" w:type="dxa"/>
            </w:tcMar>
            <w:vAlign w:val="top"/>
          </w:tcPr>
          <w:p>
            <w:pPr>
              <w:spacing w:after="0"/>
            </w:pPr>
            <w:r>
              <w:rPr>
                <w:rFonts w:ascii="Aptos" w:hAnsi="Aptos"/>
                <w:sz w:val="18"/>
              </w:rPr>
              <w:t>Future integrations</w:t>
            </w:r>
          </w:p>
        </w:tc>
        <w:tc>
          <w:tcPr>
            <w:tcW w:type="dxa" w:w="3384"/>
            <w:shd w:fill="F4F8FC"/>
            <w:tcMar>
              <w:top w:w="90" w:type="dxa"/>
              <w:left w:w="120" w:type="dxa"/>
              <w:bottom w:w="90" w:type="dxa"/>
              <w:right w:w="120" w:type="dxa"/>
            </w:tcMar>
            <w:vAlign w:val="top"/>
          </w:tcPr>
          <w:p>
            <w:pPr>
              <w:spacing w:after="0"/>
            </w:pPr>
            <w:r>
              <w:rPr>
                <w:rFonts w:ascii="Aptos" w:hAnsi="Aptos"/>
                <w:sz w:val="18"/>
              </w:rPr>
              <w:t>Add only behind capability checks</w:t>
            </w:r>
          </w:p>
        </w:tc>
        <w:tc>
          <w:tcPr>
            <w:tcW w:type="dxa" w:w="4680"/>
            <w:shd w:fill="F4F8FC"/>
            <w:tcMar>
              <w:top w:w="90" w:type="dxa"/>
              <w:left w:w="120" w:type="dxa"/>
              <w:bottom w:w="90" w:type="dxa"/>
              <w:right w:w="120" w:type="dxa"/>
            </w:tcMar>
            <w:vAlign w:val="top"/>
          </w:tcPr>
          <w:p>
            <w:pPr>
              <w:spacing w:after="0"/>
            </w:pPr>
            <w:r>
              <w:rPr>
                <w:rFonts w:ascii="Aptos" w:hAnsi="Aptos"/>
                <w:sz w:val="18"/>
              </w:rPr>
              <w:t>The API must not promise external services that do not yet exist.</w:t>
            </w:r>
          </w:p>
        </w:tc>
      </w:tr>
    </w:tbl>
    <w:p>
      <w:pPr>
        <w:widowControl/>
        <w:spacing w:after="20"/>
      </w:pPr>
    </w:p>
    <w:p>
      <w:pPr>
        <w:pStyle w:val="Heading1"/>
        <w:widowControl/>
      </w:pPr>
      <w:r>
        <w:t>3 The customer journey</w:t>
      </w:r>
    </w:p>
    <w:p>
      <w:pPr>
        <w:widowControl/>
        <w:spacing w:after="60"/>
        <w:ind w:left="317" w:hanging="317"/>
      </w:pPr>
      <w:r>
        <w:rPr>
          <w:rFonts w:ascii="Aptos" w:hAnsi="Aptos"/>
          <w:sz w:val="21"/>
        </w:rPr>
        <w:t xml:space="preserve">1.  </w:t>
      </w:r>
      <w:r>
        <w:t>Create an organization and add the people who can work for it.</w:t>
      </w:r>
    </w:p>
    <w:p>
      <w:pPr>
        <w:widowControl/>
        <w:spacing w:after="60"/>
        <w:ind w:left="317" w:hanging="317"/>
      </w:pPr>
      <w:r>
        <w:rPr>
          <w:rFonts w:ascii="Aptos" w:hAnsi="Aptos"/>
          <w:sz w:val="21"/>
        </w:rPr>
        <w:t xml:space="preserve">2.  </w:t>
      </w:r>
      <w:r>
        <w:t>Register a product and each release that is placed on the market.</w:t>
      </w:r>
    </w:p>
    <w:p>
      <w:pPr>
        <w:widowControl/>
        <w:spacing w:after="60"/>
        <w:ind w:left="317" w:hanging="317"/>
      </w:pPr>
      <w:r>
        <w:rPr>
          <w:rFonts w:ascii="Aptos" w:hAnsi="Aptos"/>
          <w:sz w:val="21"/>
        </w:rPr>
        <w:t xml:space="preserve">3.  </w:t>
      </w:r>
      <w:r>
        <w:t>Upload a firmware image, application package, source directory, or software bill of materials.</w:t>
      </w:r>
    </w:p>
    <w:p>
      <w:pPr>
        <w:widowControl/>
        <w:spacing w:after="60"/>
        <w:ind w:left="317" w:hanging="317"/>
      </w:pPr>
      <w:r>
        <w:rPr>
          <w:rFonts w:ascii="Aptos" w:hAnsi="Aptos"/>
          <w:sz w:val="21"/>
        </w:rPr>
        <w:t xml:space="preserve">4.  </w:t>
      </w:r>
      <w:r>
        <w:t>Run analysis and receive both findings and a clear coverage statement.</w:t>
      </w:r>
    </w:p>
    <w:p>
      <w:pPr>
        <w:widowControl/>
        <w:spacing w:after="60"/>
        <w:ind w:left="317" w:hanging="317"/>
      </w:pPr>
      <w:r>
        <w:rPr>
          <w:rFonts w:ascii="Aptos" w:hAnsi="Aptos"/>
          <w:sz w:val="21"/>
        </w:rPr>
        <w:t xml:space="preserve">5.  </w:t>
      </w:r>
      <w:r>
        <w:t>Review each important finding and record affectedness, reachability, and reportability separately.</w:t>
      </w:r>
    </w:p>
    <w:p>
      <w:pPr>
        <w:widowControl/>
        <w:spacing w:after="60"/>
        <w:ind w:left="317" w:hanging="317"/>
      </w:pPr>
      <w:r>
        <w:rPr>
          <w:rFonts w:ascii="Aptos" w:hAnsi="Aptos"/>
          <w:sz w:val="21"/>
        </w:rPr>
        <w:t xml:space="preserve">6.  </w:t>
      </w:r>
      <w:r>
        <w:t>Open a regulatory case when an actively exploited vulnerability or severe incident may require action.</w:t>
      </w:r>
    </w:p>
    <w:p>
      <w:pPr>
        <w:widowControl/>
        <w:spacing w:after="60"/>
        <w:ind w:left="317" w:hanging="317"/>
      </w:pPr>
      <w:r>
        <w:t>7.  Record when the manufacturer became aware, prepare the required report stages, and obtain approval from an authorized user at the customer company.</w:t>
      </w:r>
    </w:p>
    <w:p>
      <w:pPr>
        <w:widowControl/>
        <w:spacing w:after="60"/>
        <w:ind w:left="317" w:hanging="317"/>
      </w:pPr>
      <w:r>
        <w:rPr>
          <w:rFonts w:ascii="Aptos" w:hAnsi="Aptos"/>
          <w:sz w:val="21"/>
        </w:rPr>
        <w:t>8.  Authorize PandaX managed filing. After company approval, a named PandaX Assigned Representative files the exact report through the official portal, and PandaX records the receipt. Customer self-filing remains a fallback.</w:t>
      </w:r>
      <w:r/>
    </w:p>
    <w:p>
      <w:pPr>
        <w:widowControl/>
        <w:spacing w:after="60"/>
        <w:ind w:left="317" w:hanging="317"/>
      </w:pPr>
      <w:r>
        <w:rPr>
          <w:rFonts w:ascii="Aptos" w:hAnsi="Aptos"/>
          <w:sz w:val="21"/>
        </w:rPr>
        <w:t xml:space="preserve">9.  </w:t>
      </w:r>
      <w:r>
        <w:t>Generate technical documentation and a sealed evidence bundle for internal or external review.</w:t>
      </w:r>
    </w:p>
    <w:p>
      <w:pPr>
        <w:widowControl/>
        <w:spacing w:after="60"/>
        <w:ind w:left="317" w:hanging="317"/>
      </w:pPr>
      <w:r>
        <w:rPr>
          <w:rFonts w:ascii="Aptos" w:hAnsi="Aptos"/>
          <w:sz w:val="21"/>
        </w:rPr>
        <w:t xml:space="preserve">10.  </w:t>
      </w:r>
      <w:r>
        <w:t>Keep monitoring supported releases so new information can update existing findings without losing history.</w:t>
      </w:r>
    </w:p>
    <w:p>
      <w:pPr>
        <w:pStyle w:val="Heading1"/>
        <w:widowControl/>
      </w:pPr>
      <w:r>
        <w:t>4 Main information records</w:t>
      </w:r>
    </w:p>
    <w:p>
      <w:pPr>
        <w:widowControl/>
      </w:pPr>
      <w:r>
        <w:t>These records are the product vocabulary. Each has its own identity and history so that a change in one area does not erase earlier evidence.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65D"/>
            <w:tcMar>
              <w:top w:w="70" w:type="dxa"/>
              <w:left w:w="120" w:type="dxa"/>
              <w:bottom w:w="70" w:type="dxa"/>
              <w:right w:w="120" w:type="dxa"/>
            </w:tcMar>
            <w:vAlign w:val="center"/>
          </w:tcPr>
          <w:p>
            <w:pPr>
              <w:keepNext/>
            </w:pPr>
            <w:r>
              <w:rPr>
                <w:rFonts w:ascii="Aptos" w:hAnsi="Aptos"/>
                <w:b/>
                <w:color w:val="FFFFFF"/>
                <w:sz w:val="17"/>
              </w:rPr>
              <w:t>Record</w:t>
            </w:r>
          </w:p>
        </w:tc>
        <w:tc>
          <w:tcPr>
            <w:tcW w:type="dxa" w:w="3816"/>
            <w:shd w:fill="17365D"/>
            <w:tcMar>
              <w:top w:w="70" w:type="dxa"/>
              <w:left w:w="120" w:type="dxa"/>
              <w:bottom w:w="70" w:type="dxa"/>
              <w:right w:w="120" w:type="dxa"/>
            </w:tcMar>
            <w:vAlign w:val="center"/>
          </w:tcPr>
          <w:p>
            <w:pPr>
              <w:keepNext/>
            </w:pPr>
            <w:r>
              <w:rPr>
                <w:rFonts w:ascii="Aptos" w:hAnsi="Aptos"/>
                <w:b/>
                <w:color w:val="FFFFFF"/>
                <w:sz w:val="17"/>
              </w:rPr>
              <w:t>Plain language meaning</w:t>
            </w:r>
          </w:p>
        </w:tc>
        <w:tc>
          <w:tcPr>
            <w:tcW w:type="dxa" w:w="4464"/>
            <w:shd w:fill="17365D"/>
            <w:tcMar>
              <w:top w:w="70" w:type="dxa"/>
              <w:left w:w="120" w:type="dxa"/>
              <w:bottom w:w="70" w:type="dxa"/>
              <w:right w:w="120" w:type="dxa"/>
            </w:tcMar>
            <w:vAlign w:val="center"/>
          </w:tcPr>
          <w:p>
            <w:pPr>
              <w:keepNext/>
            </w:pPr>
            <w:r>
              <w:rPr>
                <w:rFonts w:ascii="Aptos" w:hAnsi="Aptos"/>
                <w:b/>
                <w:color w:val="FFFFFF"/>
                <w:sz w:val="17"/>
              </w:rPr>
              <w:t>Must remember</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Organization</w:t>
            </w:r>
          </w:p>
        </w:tc>
        <w:tc>
          <w:tcPr>
            <w:tcW w:type="dxa" w:w="3816"/>
            <w:shd w:fill="F4F8FC"/>
            <w:tcMar>
              <w:top w:w="60" w:type="dxa"/>
              <w:left w:w="120" w:type="dxa"/>
              <w:bottom w:w="60" w:type="dxa"/>
              <w:right w:w="120" w:type="dxa"/>
            </w:tcMar>
            <w:vAlign w:val="top"/>
          </w:tcPr>
          <w:p>
            <w:pPr>
              <w:spacing w:after="0"/>
            </w:pPr>
            <w:r>
              <w:rPr>
                <w:rFonts w:ascii="Aptos" w:hAnsi="Aptos"/>
                <w:sz w:val="16"/>
              </w:rPr>
              <w:t>The manufacturer or legal entity using PandaX</w:t>
            </w:r>
          </w:p>
        </w:tc>
        <w:tc>
          <w:tcPr>
            <w:tcW w:type="dxa" w:w="4464"/>
            <w:shd w:fill="F4F8FC"/>
            <w:tcMar>
              <w:top w:w="60" w:type="dxa"/>
              <w:left w:w="120" w:type="dxa"/>
              <w:bottom w:w="60" w:type="dxa"/>
              <w:right w:w="120" w:type="dxa"/>
            </w:tcMar>
            <w:vAlign w:val="top"/>
          </w:tcPr>
          <w:p>
            <w:pPr>
              <w:spacing w:after="0"/>
            </w:pPr>
            <w:r>
              <w:rPr>
                <w:rFonts w:ascii="Aptos" w:hAnsi="Aptos"/>
                <w:sz w:val="16"/>
              </w:rPr>
              <w:t>Identity, address, contacts, representatives, access settings, and managed filing permission.</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Product</w:t>
            </w:r>
          </w:p>
        </w:tc>
        <w:tc>
          <w:tcPr>
            <w:tcW w:type="dxa" w:w="3816"/>
            <w:shd w:fill="FFFFFF"/>
            <w:tcMar>
              <w:top w:w="60" w:type="dxa"/>
              <w:left w:w="120" w:type="dxa"/>
              <w:bottom w:w="60" w:type="dxa"/>
              <w:right w:w="120" w:type="dxa"/>
            </w:tcMar>
            <w:vAlign w:val="top"/>
          </w:tcPr>
          <w:p>
            <w:pPr>
              <w:spacing w:after="0"/>
            </w:pPr>
            <w:r>
              <w:rPr>
                <w:rFonts w:ascii="Aptos" w:hAnsi="Aptos"/>
                <w:sz w:val="16"/>
              </w:rPr>
              <w:t>A product with digital elements</w:t>
            </w:r>
          </w:p>
        </w:tc>
        <w:tc>
          <w:tcPr>
            <w:tcW w:type="dxa" w:w="4464"/>
            <w:shd w:fill="FFFFFF"/>
            <w:tcMar>
              <w:top w:w="60" w:type="dxa"/>
              <w:left w:w="120" w:type="dxa"/>
              <w:bottom w:w="60" w:type="dxa"/>
              <w:right w:w="120" w:type="dxa"/>
            </w:tcMar>
            <w:vAlign w:val="top"/>
          </w:tcPr>
          <w:p>
            <w:pPr>
              <w:spacing w:after="0"/>
            </w:pPr>
            <w:r>
              <w:rPr>
                <w:rFonts w:ascii="Aptos" w:hAnsi="Aptos"/>
                <w:sz w:val="16"/>
              </w:rPr>
              <w:t>Name, model, category, manufacturer, support period, markets, and classification rationale</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Release</w:t>
            </w:r>
          </w:p>
        </w:tc>
        <w:tc>
          <w:tcPr>
            <w:tcW w:type="dxa" w:w="3816"/>
            <w:shd w:fill="F4F8FC"/>
            <w:tcMar>
              <w:top w:w="60" w:type="dxa"/>
              <w:left w:w="120" w:type="dxa"/>
              <w:bottom w:w="60" w:type="dxa"/>
              <w:right w:w="120" w:type="dxa"/>
            </w:tcMar>
            <w:vAlign w:val="top"/>
          </w:tcPr>
          <w:p>
            <w:pPr>
              <w:spacing w:after="0"/>
            </w:pPr>
            <w:r>
              <w:rPr>
                <w:rFonts w:ascii="Aptos" w:hAnsi="Aptos"/>
                <w:sz w:val="16"/>
              </w:rPr>
              <w:t>A specific version of a product</w:t>
            </w:r>
          </w:p>
        </w:tc>
        <w:tc>
          <w:tcPr>
            <w:tcW w:type="dxa" w:w="4464"/>
            <w:shd w:fill="F4F8FC"/>
            <w:tcMar>
              <w:top w:w="60" w:type="dxa"/>
              <w:left w:w="120" w:type="dxa"/>
              <w:bottom w:w="60" w:type="dxa"/>
              <w:right w:w="120" w:type="dxa"/>
            </w:tcMar>
            <w:vAlign w:val="top"/>
          </w:tcPr>
          <w:p>
            <w:pPr>
              <w:spacing w:after="0"/>
            </w:pPr>
            <w:r>
              <w:rPr>
                <w:rFonts w:ascii="Aptos" w:hAnsi="Aptos"/>
                <w:sz w:val="16"/>
              </w:rPr>
              <w:t>Version, dates, support status, identifiers, parent product, and exact analyzed inputs</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Artifact</w:t>
            </w:r>
          </w:p>
        </w:tc>
        <w:tc>
          <w:tcPr>
            <w:tcW w:type="dxa" w:w="3816"/>
            <w:shd w:fill="FFFFFF"/>
            <w:tcMar>
              <w:top w:w="60" w:type="dxa"/>
              <w:left w:w="120" w:type="dxa"/>
              <w:bottom w:w="60" w:type="dxa"/>
              <w:right w:w="120" w:type="dxa"/>
            </w:tcMar>
            <w:vAlign w:val="top"/>
          </w:tcPr>
          <w:p>
            <w:pPr>
              <w:spacing w:after="0"/>
            </w:pPr>
            <w:r>
              <w:rPr>
                <w:rFonts w:ascii="Aptos" w:hAnsi="Aptos"/>
                <w:sz w:val="16"/>
              </w:rPr>
              <w:t>A file or folder supplied for analysis</w:t>
            </w:r>
          </w:p>
        </w:tc>
        <w:tc>
          <w:tcPr>
            <w:tcW w:type="dxa" w:w="4464"/>
            <w:shd w:fill="FFFFFF"/>
            <w:tcMar>
              <w:top w:w="60" w:type="dxa"/>
              <w:left w:w="120" w:type="dxa"/>
              <w:bottom w:w="60" w:type="dxa"/>
              <w:right w:w="120" w:type="dxa"/>
            </w:tcMar>
            <w:vAlign w:val="top"/>
          </w:tcPr>
          <w:p>
            <w:pPr>
              <w:spacing w:after="0"/>
            </w:pPr>
            <w:r>
              <w:rPr>
                <w:rFonts w:ascii="Aptos" w:hAnsi="Aptos"/>
                <w:sz w:val="16"/>
              </w:rPr>
              <w:t>Original name, type, size, hash, source, and retention status</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Software bill of materials</w:t>
            </w:r>
          </w:p>
        </w:tc>
        <w:tc>
          <w:tcPr>
            <w:tcW w:type="dxa" w:w="3816"/>
            <w:shd w:fill="F4F8FC"/>
            <w:tcMar>
              <w:top w:w="60" w:type="dxa"/>
              <w:left w:w="120" w:type="dxa"/>
              <w:bottom w:w="60" w:type="dxa"/>
              <w:right w:w="120" w:type="dxa"/>
            </w:tcMar>
            <w:vAlign w:val="top"/>
          </w:tcPr>
          <w:p>
            <w:pPr>
              <w:spacing w:after="0"/>
            </w:pPr>
            <w:r>
              <w:rPr>
                <w:rFonts w:ascii="Aptos" w:hAnsi="Aptos"/>
                <w:sz w:val="16"/>
              </w:rPr>
              <w:t>A structured inventory of software components</w:t>
            </w:r>
          </w:p>
        </w:tc>
        <w:tc>
          <w:tcPr>
            <w:tcW w:type="dxa" w:w="4464"/>
            <w:shd w:fill="F4F8FC"/>
            <w:tcMar>
              <w:top w:w="60" w:type="dxa"/>
              <w:left w:w="120" w:type="dxa"/>
              <w:bottom w:w="60" w:type="dxa"/>
              <w:right w:w="120" w:type="dxa"/>
            </w:tcMar>
            <w:vAlign w:val="top"/>
          </w:tcPr>
          <w:p>
            <w:pPr>
              <w:spacing w:after="0"/>
            </w:pPr>
            <w:r>
              <w:rPr>
                <w:rFonts w:ascii="Aptos" w:hAnsi="Aptos"/>
                <w:sz w:val="16"/>
              </w:rPr>
              <w:t>Format, version, source, validation result, components, and conversions</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Scan run</w:t>
            </w:r>
          </w:p>
        </w:tc>
        <w:tc>
          <w:tcPr>
            <w:tcW w:type="dxa" w:w="3816"/>
            <w:shd w:fill="FFFFFF"/>
            <w:tcMar>
              <w:top w:w="60" w:type="dxa"/>
              <w:left w:w="120" w:type="dxa"/>
              <w:bottom w:w="60" w:type="dxa"/>
              <w:right w:w="120" w:type="dxa"/>
            </w:tcMar>
            <w:vAlign w:val="top"/>
          </w:tcPr>
          <w:p>
            <w:pPr>
              <w:spacing w:after="0"/>
            </w:pPr>
            <w:r>
              <w:rPr>
                <w:rFonts w:ascii="Aptos" w:hAnsi="Aptos"/>
                <w:sz w:val="16"/>
              </w:rPr>
              <w:t>One analysis attempt</w:t>
            </w:r>
          </w:p>
        </w:tc>
        <w:tc>
          <w:tcPr>
            <w:tcW w:type="dxa" w:w="4464"/>
            <w:shd w:fill="FFFFFF"/>
            <w:tcMar>
              <w:top w:w="60" w:type="dxa"/>
              <w:left w:w="120" w:type="dxa"/>
              <w:bottom w:w="60" w:type="dxa"/>
              <w:right w:w="120" w:type="dxa"/>
            </w:tcMar>
            <w:vAlign w:val="top"/>
          </w:tcPr>
          <w:p>
            <w:pPr>
              <w:spacing w:after="0"/>
            </w:pPr>
            <w:r>
              <w:rPr>
                <w:rFonts w:ascii="Aptos" w:hAnsi="Aptos"/>
                <w:sz w:val="16"/>
              </w:rPr>
              <w:t>Inputs, tool and data versions, start and finish times, outcome, logs, and coverage</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Coverage assessment</w:t>
            </w:r>
          </w:p>
        </w:tc>
        <w:tc>
          <w:tcPr>
            <w:tcW w:type="dxa" w:w="3816"/>
            <w:shd w:fill="F4F8FC"/>
            <w:tcMar>
              <w:top w:w="60" w:type="dxa"/>
              <w:left w:w="120" w:type="dxa"/>
              <w:bottom w:w="60" w:type="dxa"/>
              <w:right w:w="120" w:type="dxa"/>
            </w:tcMar>
            <w:vAlign w:val="top"/>
          </w:tcPr>
          <w:p>
            <w:pPr>
              <w:spacing w:after="0"/>
            </w:pPr>
            <w:r>
              <w:rPr>
                <w:rFonts w:ascii="Aptos" w:hAnsi="Aptos"/>
                <w:sz w:val="16"/>
              </w:rPr>
              <w:t>What the scan could and could not inspect</w:t>
            </w:r>
          </w:p>
        </w:tc>
        <w:tc>
          <w:tcPr>
            <w:tcW w:type="dxa" w:w="4464"/>
            <w:shd w:fill="F4F8FC"/>
            <w:tcMar>
              <w:top w:w="60" w:type="dxa"/>
              <w:left w:w="120" w:type="dxa"/>
              <w:bottom w:w="60" w:type="dxa"/>
              <w:right w:w="120" w:type="dxa"/>
            </w:tcMar>
            <w:vAlign w:val="top"/>
          </w:tcPr>
          <w:p>
            <w:pPr>
              <w:spacing w:after="0"/>
            </w:pPr>
            <w:r>
              <w:rPr>
                <w:rFonts w:ascii="Aptos" w:hAnsi="Aptos"/>
                <w:sz w:val="16"/>
              </w:rPr>
              <w:t>Supported areas, limitations, confidence, and reasons for incomplete coverage</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Finding</w:t>
            </w:r>
          </w:p>
        </w:tc>
        <w:tc>
          <w:tcPr>
            <w:tcW w:type="dxa" w:w="3816"/>
            <w:shd w:fill="FFFFFF"/>
            <w:tcMar>
              <w:top w:w="60" w:type="dxa"/>
              <w:left w:w="120" w:type="dxa"/>
              <w:bottom w:w="60" w:type="dxa"/>
              <w:right w:w="120" w:type="dxa"/>
            </w:tcMar>
            <w:vAlign w:val="top"/>
          </w:tcPr>
          <w:p>
            <w:pPr>
              <w:spacing w:after="0"/>
            </w:pPr>
            <w:r>
              <w:rPr>
                <w:rFonts w:ascii="Aptos" w:hAnsi="Aptos"/>
                <w:sz w:val="16"/>
              </w:rPr>
              <w:t>A potential security issue linked to a component</w:t>
            </w:r>
          </w:p>
        </w:tc>
        <w:tc>
          <w:tcPr>
            <w:tcW w:type="dxa" w:w="4464"/>
            <w:shd w:fill="FFFFFF"/>
            <w:tcMar>
              <w:top w:w="60" w:type="dxa"/>
              <w:left w:w="120" w:type="dxa"/>
              <w:bottom w:w="60" w:type="dxa"/>
              <w:right w:w="120" w:type="dxa"/>
            </w:tcMar>
            <w:vAlign w:val="top"/>
          </w:tcPr>
          <w:p>
            <w:pPr>
              <w:spacing w:after="0"/>
            </w:pPr>
            <w:r>
              <w:rPr>
                <w:rFonts w:ascii="Aptos" w:hAnsi="Aptos"/>
                <w:sz w:val="16"/>
              </w:rPr>
              <w:t>Match evidence, severity, sources, affectedness, reachability, reportability, and review history</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Regulatory case</w:t>
            </w:r>
          </w:p>
        </w:tc>
        <w:tc>
          <w:tcPr>
            <w:tcW w:type="dxa" w:w="3816"/>
            <w:shd w:fill="F4F8FC"/>
            <w:tcMar>
              <w:top w:w="60" w:type="dxa"/>
              <w:left w:w="120" w:type="dxa"/>
              <w:bottom w:w="60" w:type="dxa"/>
              <w:right w:w="120" w:type="dxa"/>
            </w:tcMar>
            <w:vAlign w:val="top"/>
          </w:tcPr>
          <w:p>
            <w:pPr>
              <w:spacing w:after="0"/>
            </w:pPr>
            <w:r>
              <w:rPr>
                <w:rFonts w:ascii="Aptos" w:hAnsi="Aptos"/>
                <w:sz w:val="16"/>
              </w:rPr>
              <w:t>The managed work for one possibly reportable event</w:t>
            </w:r>
          </w:p>
        </w:tc>
        <w:tc>
          <w:tcPr>
            <w:tcW w:type="dxa" w:w="4464"/>
            <w:shd w:fill="F4F8FC"/>
            <w:tcMar>
              <w:top w:w="60" w:type="dxa"/>
              <w:left w:w="120" w:type="dxa"/>
              <w:bottom w:w="60" w:type="dxa"/>
              <w:right w:w="120" w:type="dxa"/>
            </w:tcMar>
            <w:vAlign w:val="top"/>
          </w:tcPr>
          <w:p>
            <w:pPr>
              <w:spacing w:after="0"/>
            </w:pPr>
            <w:r>
              <w:rPr>
                <w:rFonts w:ascii="Aptos" w:hAnsi="Aptos"/>
                <w:sz w:val="16"/>
              </w:rPr>
              <w:t>Type, product scope, awareness, deadlines, owner, decisions, and current stage</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Case event</w:t>
            </w:r>
          </w:p>
        </w:tc>
        <w:tc>
          <w:tcPr>
            <w:tcW w:type="dxa" w:w="3816"/>
            <w:shd w:fill="FFFFFF"/>
            <w:tcMar>
              <w:top w:w="60" w:type="dxa"/>
              <w:left w:w="120" w:type="dxa"/>
              <w:bottom w:w="60" w:type="dxa"/>
              <w:right w:w="120" w:type="dxa"/>
            </w:tcMar>
            <w:vAlign w:val="top"/>
          </w:tcPr>
          <w:p>
            <w:pPr>
              <w:spacing w:after="0"/>
            </w:pPr>
            <w:r>
              <w:rPr>
                <w:rFonts w:ascii="Aptos" w:hAnsi="Aptos"/>
                <w:sz w:val="16"/>
              </w:rPr>
              <w:t>A time stamped action or decision in a case</w:t>
            </w:r>
          </w:p>
        </w:tc>
        <w:tc>
          <w:tcPr>
            <w:tcW w:type="dxa" w:w="4464"/>
            <w:shd w:fill="FFFFFF"/>
            <w:tcMar>
              <w:top w:w="60" w:type="dxa"/>
              <w:left w:w="120" w:type="dxa"/>
              <w:bottom w:w="60" w:type="dxa"/>
              <w:right w:w="120" w:type="dxa"/>
            </w:tcMar>
            <w:vAlign w:val="top"/>
          </w:tcPr>
          <w:p>
            <w:pPr>
              <w:spacing w:after="0"/>
            </w:pPr>
            <w:r>
              <w:rPr>
                <w:rFonts w:ascii="Aptos" w:hAnsi="Aptos"/>
                <w:sz w:val="16"/>
              </w:rPr>
              <w:t>Who did what, when, why, and the evidence used</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Report revision</w:t>
            </w:r>
          </w:p>
        </w:tc>
        <w:tc>
          <w:tcPr>
            <w:tcW w:type="dxa" w:w="3816"/>
            <w:shd w:fill="F4F8FC"/>
            <w:tcMar>
              <w:top w:w="60" w:type="dxa"/>
              <w:left w:w="120" w:type="dxa"/>
              <w:bottom w:w="60" w:type="dxa"/>
              <w:right w:w="120" w:type="dxa"/>
            </w:tcMar>
            <w:vAlign w:val="top"/>
          </w:tcPr>
          <w:p>
            <w:pPr>
              <w:spacing w:after="0"/>
            </w:pPr>
            <w:r>
              <w:rPr>
                <w:rFonts w:ascii="Aptos" w:hAnsi="Aptos"/>
                <w:sz w:val="16"/>
              </w:rPr>
              <w:t>A saved version of a report stage</w:t>
            </w:r>
          </w:p>
        </w:tc>
        <w:tc>
          <w:tcPr>
            <w:tcW w:type="dxa" w:w="4464"/>
            <w:shd w:fill="F4F8FC"/>
            <w:tcMar>
              <w:top w:w="60" w:type="dxa"/>
              <w:left w:w="120" w:type="dxa"/>
              <w:bottom w:w="60" w:type="dxa"/>
              <w:right w:w="120" w:type="dxa"/>
            </w:tcMar>
            <w:vAlign w:val="top"/>
          </w:tcPr>
          <w:p>
            <w:pPr>
              <w:spacing w:after="0"/>
            </w:pPr>
            <w:r>
              <w:rPr>
                <w:rFonts w:ascii="Aptos" w:hAnsi="Aptos"/>
                <w:sz w:val="16"/>
              </w:rPr>
              <w:t>Stage, content, sources, author, approval, checksum, and superseded version</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Submission attempt</w:t>
            </w:r>
          </w:p>
        </w:tc>
        <w:tc>
          <w:tcPr>
            <w:tcW w:type="dxa" w:w="3816"/>
            <w:shd w:fill="FFFFFF"/>
            <w:tcMar>
              <w:top w:w="60" w:type="dxa"/>
              <w:left w:w="120" w:type="dxa"/>
              <w:bottom w:w="60" w:type="dxa"/>
              <w:right w:w="120" w:type="dxa"/>
            </w:tcMar>
            <w:vAlign w:val="top"/>
          </w:tcPr>
          <w:p>
            <w:pPr>
              <w:spacing w:after="0"/>
            </w:pPr>
            <w:r>
              <w:rPr>
                <w:rFonts w:ascii="Aptos" w:hAnsi="Aptos"/>
                <w:sz w:val="16"/>
              </w:rPr>
              <w:t>A record of a managed or customer-performed filing to an authority</w:t>
            </w:r>
          </w:p>
        </w:tc>
        <w:tc>
          <w:tcPr>
            <w:tcW w:type="dxa" w:w="4464"/>
            <w:shd w:fill="FFFFFF"/>
            <w:tcMar>
              <w:top w:w="60" w:type="dxa"/>
              <w:left w:w="120" w:type="dxa"/>
              <w:bottom w:w="60" w:type="dxa"/>
              <w:right w:w="120" w:type="dxa"/>
            </w:tcMar>
            <w:vAlign w:val="top"/>
          </w:tcPr>
          <w:p>
            <w:pPr>
              <w:spacing w:after="0"/>
            </w:pPr>
            <w:r>
              <w:rPr>
                <w:rFonts w:ascii="Aptos" w:hAnsi="Aptos"/>
                <w:sz w:val="16"/>
              </w:rPr>
              <w:t>Method, named operator, authorization, channel, authority, time, result, exact report revision, receipt, and failure details</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Conformity document</w:t>
            </w:r>
          </w:p>
        </w:tc>
        <w:tc>
          <w:tcPr>
            <w:tcW w:type="dxa" w:w="3816"/>
            <w:shd w:fill="F4F8FC"/>
            <w:tcMar>
              <w:top w:w="60" w:type="dxa"/>
              <w:left w:w="120" w:type="dxa"/>
              <w:bottom w:w="60" w:type="dxa"/>
              <w:right w:w="120" w:type="dxa"/>
            </w:tcMar>
            <w:vAlign w:val="top"/>
          </w:tcPr>
          <w:p>
            <w:pPr>
              <w:spacing w:after="0"/>
            </w:pPr>
            <w:r>
              <w:rPr>
                <w:rFonts w:ascii="Aptos" w:hAnsi="Aptos"/>
                <w:sz w:val="16"/>
              </w:rPr>
              <w:t>A document prepared for CRA technical documentation</w:t>
            </w:r>
          </w:p>
        </w:tc>
        <w:tc>
          <w:tcPr>
            <w:tcW w:type="dxa" w:w="4464"/>
            <w:shd w:fill="F4F8FC"/>
            <w:tcMar>
              <w:top w:w="60" w:type="dxa"/>
              <w:left w:w="120" w:type="dxa"/>
              <w:bottom w:w="60" w:type="dxa"/>
              <w:right w:w="120" w:type="dxa"/>
            </w:tcMar>
            <w:vAlign w:val="top"/>
          </w:tcPr>
          <w:p>
            <w:pPr>
              <w:spacing w:after="0"/>
            </w:pPr>
            <w:r>
              <w:rPr>
                <w:rFonts w:ascii="Aptos" w:hAnsi="Aptos"/>
                <w:sz w:val="16"/>
              </w:rPr>
              <w:t>Document type, release, source fields, review state, and exported file</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Evidence bundle</w:t>
            </w:r>
          </w:p>
        </w:tc>
        <w:tc>
          <w:tcPr>
            <w:tcW w:type="dxa" w:w="3816"/>
            <w:shd w:fill="FFFFFF"/>
            <w:tcMar>
              <w:top w:w="60" w:type="dxa"/>
              <w:left w:w="120" w:type="dxa"/>
              <w:bottom w:w="60" w:type="dxa"/>
              <w:right w:w="120" w:type="dxa"/>
            </w:tcMar>
            <w:vAlign w:val="top"/>
          </w:tcPr>
          <w:p>
            <w:pPr>
              <w:spacing w:after="0"/>
            </w:pPr>
            <w:r>
              <w:rPr>
                <w:rFonts w:ascii="Aptos" w:hAnsi="Aptos"/>
                <w:sz w:val="16"/>
              </w:rPr>
              <w:t>A portable audit package</w:t>
            </w:r>
          </w:p>
        </w:tc>
        <w:tc>
          <w:tcPr>
            <w:tcW w:type="dxa" w:w="4464"/>
            <w:shd w:fill="FFFFFF"/>
            <w:tcMar>
              <w:top w:w="60" w:type="dxa"/>
              <w:left w:w="120" w:type="dxa"/>
              <w:bottom w:w="60" w:type="dxa"/>
              <w:right w:w="120" w:type="dxa"/>
            </w:tcMar>
            <w:vAlign w:val="top"/>
          </w:tcPr>
          <w:p>
            <w:pPr>
              <w:spacing w:after="0"/>
            </w:pPr>
            <w:r>
              <w:rPr>
                <w:rFonts w:ascii="Aptos" w:hAnsi="Aptos"/>
                <w:sz w:val="16"/>
              </w:rPr>
              <w:t>Contents, manifest, seal, trusted signer information, and independent verification result</w:t>
            </w:r>
          </w:p>
        </w:tc>
      </w:tr>
      <w:tr>
        <w:trPr>
          <w:cantSplit/>
        </w:trPr>
        <w:tc>
          <w:tcPr>
            <w:tcW w:type="dxa" w:w="1944"/>
            <w:shd w:fill="F4F8FC"/>
            <w:tcMar>
              <w:top w:w="60" w:type="dxa"/>
              <w:left w:w="120" w:type="dxa"/>
              <w:bottom w:w="60" w:type="dxa"/>
              <w:right w:w="120" w:type="dxa"/>
            </w:tcMar>
            <w:vAlign w:val="top"/>
          </w:tcPr>
          <w:p>
            <w:pPr>
              <w:spacing w:after="0"/>
            </w:pPr>
            <w:r>
              <w:rPr>
                <w:rFonts w:ascii="Aptos" w:hAnsi="Aptos"/>
                <w:sz w:val="16"/>
              </w:rPr>
              <w:t>Monitoring policy</w:t>
            </w:r>
          </w:p>
        </w:tc>
        <w:tc>
          <w:tcPr>
            <w:tcW w:type="dxa" w:w="3816"/>
            <w:shd w:fill="F4F8FC"/>
            <w:tcMar>
              <w:top w:w="60" w:type="dxa"/>
              <w:left w:w="120" w:type="dxa"/>
              <w:bottom w:w="60" w:type="dxa"/>
              <w:right w:w="120" w:type="dxa"/>
            </w:tcMar>
            <w:vAlign w:val="top"/>
          </w:tcPr>
          <w:p>
            <w:pPr>
              <w:spacing w:after="0"/>
            </w:pPr>
            <w:r>
              <w:rPr>
                <w:rFonts w:ascii="Aptos" w:hAnsi="Aptos"/>
                <w:sz w:val="16"/>
              </w:rPr>
              <w:t>Rules for checking supported releases again</w:t>
            </w:r>
          </w:p>
        </w:tc>
        <w:tc>
          <w:tcPr>
            <w:tcW w:type="dxa" w:w="4464"/>
            <w:shd w:fill="F4F8FC"/>
            <w:tcMar>
              <w:top w:w="60" w:type="dxa"/>
              <w:left w:w="120" w:type="dxa"/>
              <w:bottom w:w="60" w:type="dxa"/>
              <w:right w:w="120" w:type="dxa"/>
            </w:tcMar>
            <w:vAlign w:val="top"/>
          </w:tcPr>
          <w:p>
            <w:pPr>
              <w:spacing w:after="0"/>
            </w:pPr>
            <w:r>
              <w:rPr>
                <w:rFonts w:ascii="Aptos" w:hAnsi="Aptos"/>
                <w:sz w:val="16"/>
              </w:rPr>
              <w:t>Schedule, feeds, scope, owners, alert rules, and last successful refresh</w:t>
            </w:r>
          </w:p>
        </w:tc>
      </w:tr>
      <w:tr>
        <w:trPr>
          <w:cantSplit/>
        </w:trPr>
        <w:tc>
          <w:tcPr>
            <w:tcW w:type="dxa" w:w="1944"/>
            <w:shd w:fill="FFFFFF"/>
            <w:tcMar>
              <w:top w:w="60" w:type="dxa"/>
              <w:left w:w="120" w:type="dxa"/>
              <w:bottom w:w="60" w:type="dxa"/>
              <w:right w:w="120" w:type="dxa"/>
            </w:tcMar>
            <w:vAlign w:val="top"/>
          </w:tcPr>
          <w:p>
            <w:pPr>
              <w:spacing w:after="0"/>
            </w:pPr>
            <w:r>
              <w:rPr>
                <w:rFonts w:ascii="Aptos" w:hAnsi="Aptos"/>
                <w:sz w:val="16"/>
              </w:rPr>
              <w:t>Job</w:t>
            </w:r>
          </w:p>
        </w:tc>
        <w:tc>
          <w:tcPr>
            <w:tcW w:type="dxa" w:w="3816"/>
            <w:shd w:fill="FFFFFF"/>
            <w:tcMar>
              <w:top w:w="60" w:type="dxa"/>
              <w:left w:w="120" w:type="dxa"/>
              <w:bottom w:w="60" w:type="dxa"/>
              <w:right w:w="120" w:type="dxa"/>
            </w:tcMar>
            <w:vAlign w:val="top"/>
          </w:tcPr>
          <w:p>
            <w:pPr>
              <w:spacing w:after="0"/>
            </w:pPr>
            <w:r>
              <w:rPr>
                <w:rFonts w:ascii="Aptos" w:hAnsi="Aptos"/>
                <w:sz w:val="16"/>
              </w:rPr>
              <w:t>Background work that may take time</w:t>
            </w:r>
          </w:p>
        </w:tc>
        <w:tc>
          <w:tcPr>
            <w:tcW w:type="dxa" w:w="4464"/>
            <w:shd w:fill="FFFFFF"/>
            <w:tcMar>
              <w:top w:w="60" w:type="dxa"/>
              <w:left w:w="120" w:type="dxa"/>
              <w:bottom w:w="60" w:type="dxa"/>
              <w:right w:w="120" w:type="dxa"/>
            </w:tcMar>
            <w:vAlign w:val="top"/>
          </w:tcPr>
          <w:p>
            <w:pPr>
              <w:spacing w:after="0"/>
            </w:pPr>
            <w:r>
              <w:rPr>
                <w:rFonts w:ascii="Aptos" w:hAnsi="Aptos"/>
                <w:sz w:val="16"/>
              </w:rPr>
              <w:t>Progress, result, errors, retry information, and related record</w:t>
            </w:r>
          </w:p>
        </w:tc>
      </w:tr>
    </w:tbl>
    <w:p>
      <w:pPr>
        <w:widowControl/>
        <w:spacing w:after="20"/>
      </w:pPr>
    </w:p>
    <w:p>
      <w:pPr>
        <w:widowControl/>
      </w:pPr>
      <w:r>
        <w:br w:type="page"/>
      </w:r>
    </w:p>
    <w:p>
      <w:pPr>
        <w:pStyle w:val="Heading1"/>
        <w:widowControl/>
      </w:pPr>
      <w:r>
        <w:t>5 Rules shared by every API action</w:t>
      </w:r>
    </w:p>
    <w:p>
      <w:pPr>
        <w:widowControl/>
      </w:pPr>
      <w:r>
        <w:t>This section explains the common behavior behind every action performed through the dashboard, CLI, or a connected system. It covers how PandaX confirms who is acting and for which company, prevents accidental duplicate work, manages tasks that take time, handles long lists, records time and history, identifies the sources behind conclusions, shows which features are available, and reports errors. These shared rules make the product consistent and help keep compliance records reliable.</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160"/>
            <w:shd w:fill="17365D"/>
            <w:tcMar>
              <w:top w:w="100" w:type="dxa"/>
              <w:left w:w="120" w:type="dxa"/>
              <w:bottom w:w="100" w:type="dxa"/>
              <w:right w:w="120" w:type="dxa"/>
            </w:tcMar>
            <w:vAlign w:val="center"/>
          </w:tcPr>
          <w:p>
            <w:pPr>
              <w:keepNext/>
            </w:pPr>
            <w:r>
              <w:rPr>
                <w:rFonts w:ascii="Aptos" w:hAnsi="Aptos"/>
                <w:b/>
                <w:color w:val="FFFFFF"/>
                <w:sz w:val="19"/>
              </w:rPr>
              <w:t>Rule</w:t>
            </w:r>
          </w:p>
        </w:tc>
        <w:tc>
          <w:tcPr>
            <w:tcW w:type="dxa" w:w="8136"/>
            <w:shd w:fill="17365D"/>
            <w:tcMar>
              <w:top w:w="100" w:type="dxa"/>
              <w:left w:w="120" w:type="dxa"/>
              <w:bottom w:w="100" w:type="dxa"/>
              <w:right w:w="120" w:type="dxa"/>
            </w:tcMar>
            <w:vAlign w:val="center"/>
          </w:tcPr>
          <w:p>
            <w:pPr>
              <w:keepNext/>
            </w:pPr>
            <w:r>
              <w:rPr>
                <w:rFonts w:ascii="Aptos" w:hAnsi="Aptos"/>
                <w:b/>
                <w:color w:val="FFFFFF"/>
                <w:sz w:val="19"/>
              </w:rPr>
              <w:t>Product behavior</w:t>
            </w:r>
          </w:p>
        </w:tc>
      </w:tr>
      <w:tr>
        <w:trPr>
          <w:cantSplit/>
        </w:trPr>
        <w:tc>
          <w:tcPr>
            <w:tcW w:type="dxa" w:w="2160"/>
            <w:shd w:fill="F4F8FC"/>
            <w:tcMar>
              <w:top w:w="90" w:type="dxa"/>
              <w:left w:w="120" w:type="dxa"/>
              <w:bottom w:w="90" w:type="dxa"/>
              <w:right w:w="120" w:type="dxa"/>
            </w:tcMar>
            <w:vAlign w:val="top"/>
          </w:tcPr>
          <w:p>
            <w:pPr>
              <w:spacing w:after="0"/>
            </w:pPr>
            <w:r>
              <w:rPr>
                <w:rFonts w:ascii="Aptos" w:hAnsi="Aptos"/>
                <w:sz w:val="18"/>
              </w:rPr>
              <w:t>Address</w:t>
            </w:r>
          </w:p>
        </w:tc>
        <w:tc>
          <w:tcPr>
            <w:tcW w:type="dxa" w:w="8136"/>
            <w:shd w:fill="F4F8FC"/>
            <w:tcMar>
              <w:top w:w="90" w:type="dxa"/>
              <w:left w:w="120" w:type="dxa"/>
              <w:bottom w:w="90" w:type="dxa"/>
              <w:right w:w="120" w:type="dxa"/>
            </w:tcMar>
            <w:vAlign w:val="top"/>
          </w:tcPr>
          <w:p>
            <w:pPr>
              <w:spacing w:after="0"/>
            </w:pPr>
            <w:r>
              <w:rPr>
                <w:rFonts w:ascii="Aptos" w:hAnsi="Aptos"/>
                <w:sz w:val="18"/>
              </w:rPr>
              <w:t>All public product actions begin with /v1. A later incompatible version uses a new number.</w:t>
            </w:r>
          </w:p>
        </w:tc>
      </w:tr>
      <w:tr>
        <w:trPr>
          <w:cantSplit/>
        </w:trPr>
        <w:tc>
          <w:tcPr>
            <w:tcW w:type="dxa" w:w="2160"/>
            <w:shd w:fill="FFFFFF"/>
            <w:tcMar>
              <w:top w:w="90" w:type="dxa"/>
              <w:left w:w="120" w:type="dxa"/>
              <w:bottom w:w="90" w:type="dxa"/>
              <w:right w:w="120" w:type="dxa"/>
            </w:tcMar>
            <w:vAlign w:val="top"/>
          </w:tcPr>
          <w:p>
            <w:pPr>
              <w:spacing w:after="0"/>
            </w:pPr>
            <w:r>
              <w:rPr>
                <w:rFonts w:ascii="Aptos" w:hAnsi="Aptos"/>
                <w:sz w:val="18"/>
              </w:rPr>
              <w:t>Identity and access</w:t>
            </w:r>
          </w:p>
        </w:tc>
        <w:tc>
          <w:tcPr>
            <w:tcW w:type="dxa" w:w="8136"/>
            <w:shd w:fill="FFFFFF"/>
            <w:tcMar>
              <w:top w:w="90" w:type="dxa"/>
              <w:left w:w="120" w:type="dxa"/>
              <w:bottom w:w="90" w:type="dxa"/>
              <w:right w:w="120" w:type="dxa"/>
            </w:tcMar>
            <w:vAlign w:val="top"/>
          </w:tcPr>
          <w:p>
            <w:pPr>
              <w:spacing w:after="0"/>
            </w:pPr>
            <w:r>
              <w:rPr>
                <w:rFonts w:ascii="Aptos" w:hAnsi="Aptos"/>
                <w:sz w:val="18"/>
              </w:rPr>
              <w:t>Every request is linked to an organization and an authenticated person or system. Roles control viewing, editing, approval, and administration.</w:t>
            </w:r>
          </w:p>
        </w:tc>
      </w:tr>
      <w:tr>
        <w:trPr>
          <w:cantSplit/>
        </w:trPr>
        <w:tc>
          <w:tcPr>
            <w:tcW w:type="dxa" w:w="2160"/>
            <w:shd w:fill="F4F8FC"/>
            <w:tcMar>
              <w:top w:w="90" w:type="dxa"/>
              <w:left w:w="120" w:type="dxa"/>
              <w:bottom w:w="90" w:type="dxa"/>
              <w:right w:w="120" w:type="dxa"/>
            </w:tcMar>
            <w:vAlign w:val="top"/>
          </w:tcPr>
          <w:p>
            <w:pPr>
              <w:spacing w:after="0"/>
            </w:pPr>
            <w:r>
              <w:rPr>
                <w:rFonts w:ascii="Aptos" w:hAnsi="Aptos"/>
                <w:sz w:val="18"/>
              </w:rPr>
              <w:t>Safe retry</w:t>
            </w:r>
          </w:p>
        </w:tc>
        <w:tc>
          <w:tcPr>
            <w:tcW w:type="dxa" w:w="8136"/>
            <w:shd w:fill="F4F8FC"/>
            <w:tcMar>
              <w:top w:w="90" w:type="dxa"/>
              <w:left w:w="120" w:type="dxa"/>
              <w:bottom w:w="90" w:type="dxa"/>
              <w:right w:w="120" w:type="dxa"/>
            </w:tcMar>
            <w:vAlign w:val="top"/>
          </w:tcPr>
          <w:p>
            <w:pPr>
              <w:spacing w:after="0"/>
            </w:pPr>
            <w:r>
              <w:rPr>
                <w:rFonts w:ascii="Aptos" w:hAnsi="Aptos"/>
                <w:sz w:val="18"/>
              </w:rPr>
              <w:t>Create and start actions accept an Idempotency Key so a repeated request does not create duplicate work.</w:t>
            </w:r>
          </w:p>
        </w:tc>
      </w:tr>
      <w:tr>
        <w:trPr>
          <w:cantSplit/>
        </w:trPr>
        <w:tc>
          <w:tcPr>
            <w:tcW w:type="dxa" w:w="2160"/>
            <w:shd w:fill="FFFFFF"/>
            <w:tcMar>
              <w:top w:w="90" w:type="dxa"/>
              <w:left w:w="120" w:type="dxa"/>
              <w:bottom w:w="90" w:type="dxa"/>
              <w:right w:w="120" w:type="dxa"/>
            </w:tcMar>
            <w:vAlign w:val="top"/>
          </w:tcPr>
          <w:p>
            <w:pPr>
              <w:spacing w:after="0"/>
            </w:pPr>
            <w:r>
              <w:rPr>
                <w:rFonts w:ascii="Aptos" w:hAnsi="Aptos"/>
                <w:sz w:val="18"/>
              </w:rPr>
              <w:t>Background jobs</w:t>
            </w:r>
          </w:p>
        </w:tc>
        <w:tc>
          <w:tcPr>
            <w:tcW w:type="dxa" w:w="8136"/>
            <w:shd w:fill="FFFFFF"/>
            <w:tcMar>
              <w:top w:w="90" w:type="dxa"/>
              <w:left w:w="120" w:type="dxa"/>
              <w:bottom w:w="90" w:type="dxa"/>
              <w:right w:w="120" w:type="dxa"/>
            </w:tcMar>
            <w:vAlign w:val="top"/>
          </w:tcPr>
          <w:p>
            <w:pPr>
              <w:spacing w:after="0"/>
            </w:pPr>
            <w:r>
              <w:rPr>
                <w:rFonts w:ascii="Aptos" w:hAnsi="Aptos"/>
                <w:sz w:val="18"/>
              </w:rPr>
              <w:t>Long tasks return a job. The caller can check progress or receive an event when work finishes.</w:t>
            </w:r>
          </w:p>
        </w:tc>
      </w:tr>
      <w:tr>
        <w:trPr>
          <w:cantSplit/>
        </w:trPr>
        <w:tc>
          <w:tcPr>
            <w:tcW w:type="dxa" w:w="2160"/>
            <w:shd w:fill="F4F8FC"/>
            <w:tcMar>
              <w:top w:w="90" w:type="dxa"/>
              <w:left w:w="120" w:type="dxa"/>
              <w:bottom w:w="90" w:type="dxa"/>
              <w:right w:w="120" w:type="dxa"/>
            </w:tcMar>
            <w:vAlign w:val="top"/>
          </w:tcPr>
          <w:p>
            <w:pPr>
              <w:spacing w:after="0"/>
            </w:pPr>
            <w:r>
              <w:rPr>
                <w:rFonts w:ascii="Aptos" w:hAnsi="Aptos"/>
                <w:sz w:val="18"/>
              </w:rPr>
              <w:t>Lists</w:t>
            </w:r>
          </w:p>
        </w:tc>
        <w:tc>
          <w:tcPr>
            <w:tcW w:type="dxa" w:w="8136"/>
            <w:shd w:fill="F4F8FC"/>
            <w:tcMar>
              <w:top w:w="90" w:type="dxa"/>
              <w:left w:w="120" w:type="dxa"/>
              <w:bottom w:w="90" w:type="dxa"/>
              <w:right w:w="120" w:type="dxa"/>
            </w:tcMar>
            <w:vAlign w:val="top"/>
          </w:tcPr>
          <w:p>
            <w:pPr>
              <w:spacing w:after="0"/>
            </w:pPr>
            <w:r>
              <w:rPr>
                <w:rFonts w:ascii="Aptos" w:hAnsi="Aptos"/>
                <w:sz w:val="18"/>
              </w:rPr>
              <w:t>Large lists use a cursor and limit. Responses include a next cursor when more results exist.</w:t>
            </w:r>
          </w:p>
        </w:tc>
      </w:tr>
      <w:tr>
        <w:trPr>
          <w:cantSplit/>
        </w:trPr>
        <w:tc>
          <w:tcPr>
            <w:tcW w:type="dxa" w:w="2160"/>
            <w:shd w:fill="FFFFFF"/>
            <w:tcMar>
              <w:top w:w="90" w:type="dxa"/>
              <w:left w:w="120" w:type="dxa"/>
              <w:bottom w:w="90" w:type="dxa"/>
              <w:right w:w="120" w:type="dxa"/>
            </w:tcMar>
            <w:vAlign w:val="top"/>
          </w:tcPr>
          <w:p>
            <w:pPr>
              <w:spacing w:after="0"/>
            </w:pPr>
            <w:r>
              <w:rPr>
                <w:rFonts w:ascii="Aptos" w:hAnsi="Aptos"/>
                <w:sz w:val="18"/>
              </w:rPr>
              <w:t>Time</w:t>
            </w:r>
          </w:p>
        </w:tc>
        <w:tc>
          <w:tcPr>
            <w:tcW w:type="dxa" w:w="8136"/>
            <w:shd w:fill="FFFFFF"/>
            <w:tcMar>
              <w:top w:w="90" w:type="dxa"/>
              <w:left w:w="120" w:type="dxa"/>
              <w:bottom w:w="90" w:type="dxa"/>
              <w:right w:w="120" w:type="dxa"/>
            </w:tcMar>
            <w:vAlign w:val="top"/>
          </w:tcPr>
          <w:p>
            <w:pPr>
              <w:spacing w:after="0"/>
            </w:pPr>
            <w:r>
              <w:rPr>
                <w:rFonts w:ascii="Aptos" w:hAnsi="Aptos"/>
                <w:sz w:val="18"/>
              </w:rPr>
              <w:t>Times use ISO 8601 in UTC. The interface may display the customer time zone without changing the stored instant.</w:t>
            </w:r>
          </w:p>
        </w:tc>
      </w:tr>
      <w:tr>
        <w:trPr>
          <w:cantSplit/>
        </w:trPr>
        <w:tc>
          <w:tcPr>
            <w:tcW w:type="dxa" w:w="2160"/>
            <w:shd w:fill="F4F8FC"/>
            <w:tcMar>
              <w:top w:w="90" w:type="dxa"/>
              <w:left w:w="120" w:type="dxa"/>
              <w:bottom w:w="90" w:type="dxa"/>
              <w:right w:w="120" w:type="dxa"/>
            </w:tcMar>
            <w:vAlign w:val="top"/>
          </w:tcPr>
          <w:p>
            <w:pPr>
              <w:spacing w:after="0"/>
            </w:pPr>
            <w:r>
              <w:rPr>
                <w:rFonts w:ascii="Aptos" w:hAnsi="Aptos"/>
                <w:sz w:val="18"/>
              </w:rPr>
              <w:t>History</w:t>
            </w:r>
          </w:p>
        </w:tc>
        <w:tc>
          <w:tcPr>
            <w:tcW w:type="dxa" w:w="8136"/>
            <w:shd w:fill="F4F8FC"/>
            <w:tcMar>
              <w:top w:w="90" w:type="dxa"/>
              <w:left w:w="120" w:type="dxa"/>
              <w:bottom w:w="90" w:type="dxa"/>
              <w:right w:w="120" w:type="dxa"/>
            </w:tcMar>
            <w:vAlign w:val="top"/>
          </w:tcPr>
          <w:p>
            <w:pPr>
              <w:spacing w:after="0"/>
            </w:pPr>
            <w:r>
              <w:rPr>
                <w:rFonts w:ascii="Aptos" w:hAnsi="Aptos"/>
                <w:sz w:val="18"/>
              </w:rPr>
              <w:t>Material decisions are appended as events. Earlier decisions and report revisions are never silently overwritten.</w:t>
            </w:r>
          </w:p>
        </w:tc>
      </w:tr>
      <w:tr>
        <w:trPr>
          <w:cantSplit/>
        </w:trPr>
        <w:tc>
          <w:tcPr>
            <w:tcW w:type="dxa" w:w="2160"/>
            <w:shd w:fill="FFFFFF"/>
            <w:tcMar>
              <w:top w:w="90" w:type="dxa"/>
              <w:left w:w="120" w:type="dxa"/>
              <w:bottom w:w="90" w:type="dxa"/>
              <w:right w:w="120" w:type="dxa"/>
            </w:tcMar>
            <w:vAlign w:val="top"/>
          </w:tcPr>
          <w:p>
            <w:pPr>
              <w:spacing w:after="0"/>
            </w:pPr>
            <w:r>
              <w:rPr>
                <w:rFonts w:ascii="Aptos" w:hAnsi="Aptos"/>
                <w:sz w:val="18"/>
              </w:rPr>
              <w:t>Sources</w:t>
            </w:r>
          </w:p>
        </w:tc>
        <w:tc>
          <w:tcPr>
            <w:tcW w:type="dxa" w:w="8136"/>
            <w:shd w:fill="FFFFFF"/>
            <w:tcMar>
              <w:top w:w="90" w:type="dxa"/>
              <w:left w:w="120" w:type="dxa"/>
              <w:bottom w:w="90" w:type="dxa"/>
              <w:right w:w="120" w:type="dxa"/>
            </w:tcMar>
            <w:vAlign w:val="top"/>
          </w:tcPr>
          <w:p>
            <w:pPr>
              <w:spacing w:after="0"/>
            </w:pPr>
            <w:r>
              <w:rPr>
                <w:rFonts w:ascii="Aptos" w:hAnsi="Aptos"/>
                <w:sz w:val="18"/>
              </w:rPr>
              <w:t>A conclusion includes the data source, source version, retrieval time, and the rules version used.</w:t>
            </w:r>
          </w:p>
        </w:tc>
      </w:tr>
      <w:tr>
        <w:trPr>
          <w:cantSplit/>
        </w:trPr>
        <w:tc>
          <w:tcPr>
            <w:tcW w:type="dxa" w:w="2160"/>
            <w:shd w:fill="F4F8FC"/>
            <w:tcMar>
              <w:top w:w="90" w:type="dxa"/>
              <w:left w:w="120" w:type="dxa"/>
              <w:bottom w:w="90" w:type="dxa"/>
              <w:right w:w="120" w:type="dxa"/>
            </w:tcMar>
            <w:vAlign w:val="top"/>
          </w:tcPr>
          <w:p>
            <w:pPr>
              <w:spacing w:after="0"/>
            </w:pPr>
            <w:r>
              <w:rPr>
                <w:rFonts w:ascii="Aptos" w:hAnsi="Aptos"/>
                <w:sz w:val="18"/>
              </w:rPr>
              <w:t>Capabilities</w:t>
            </w:r>
          </w:p>
        </w:tc>
        <w:tc>
          <w:tcPr>
            <w:tcW w:type="dxa" w:w="8136"/>
            <w:shd w:fill="F4F8FC"/>
            <w:tcMar>
              <w:top w:w="90" w:type="dxa"/>
              <w:left w:w="120" w:type="dxa"/>
              <w:bottom w:w="90" w:type="dxa"/>
              <w:right w:w="120" w:type="dxa"/>
            </w:tcMar>
            <w:vAlign w:val="top"/>
          </w:tcPr>
          <w:p>
            <w:pPr>
              <w:spacing w:after="0"/>
            </w:pPr>
            <w:r>
              <w:rPr>
                <w:rFonts w:ascii="Aptos" w:hAnsi="Aptos"/>
                <w:sz w:val="18"/>
              </w:rPr>
              <w:t>GET /v1/capabilities states which formats, scanners, feeds, managed filing services, and external connectors are available in the running installation.</w:t>
            </w:r>
          </w:p>
        </w:tc>
      </w:tr>
      <w:tr>
        <w:trPr>
          <w:cantSplit/>
        </w:trPr>
        <w:tc>
          <w:tcPr>
            <w:tcW w:type="dxa" w:w="2160"/>
            <w:shd w:fill="FFFFFF"/>
            <w:tcMar>
              <w:top w:w="90" w:type="dxa"/>
              <w:left w:w="120" w:type="dxa"/>
              <w:bottom w:w="90" w:type="dxa"/>
              <w:right w:w="120" w:type="dxa"/>
            </w:tcMar>
            <w:vAlign w:val="top"/>
          </w:tcPr>
          <w:p>
            <w:pPr>
              <w:spacing w:after="0"/>
            </w:pPr>
            <w:r>
              <w:rPr>
                <w:rFonts w:ascii="Aptos" w:hAnsi="Aptos"/>
                <w:sz w:val="18"/>
              </w:rPr>
              <w:t>Errors</w:t>
            </w:r>
          </w:p>
        </w:tc>
        <w:tc>
          <w:tcPr>
            <w:tcW w:type="dxa" w:w="8136"/>
            <w:shd w:fill="FFFFFF"/>
            <w:tcMar>
              <w:top w:w="90" w:type="dxa"/>
              <w:left w:w="120" w:type="dxa"/>
              <w:bottom w:w="90" w:type="dxa"/>
              <w:right w:w="120" w:type="dxa"/>
            </w:tcMar>
            <w:vAlign w:val="top"/>
          </w:tcPr>
          <w:p>
            <w:pPr>
              <w:spacing w:after="0"/>
            </w:pPr>
            <w:r>
              <w:rPr>
                <w:rFonts w:ascii="Aptos" w:hAnsi="Aptos"/>
                <w:sz w:val="18"/>
              </w:rPr>
              <w:t>Errors contain a stable code, plain language message, field details where useful, and a request identifier for support.</w:t>
            </w:r>
          </w:p>
        </w:tc>
      </w:tr>
    </w:tbl>
    <w:p>
      <w:pPr>
        <w:widowControl/>
        <w:spacing w:after="20"/>
      </w:pPr>
    </w:p>
    <w:p>
      <w:pPr>
        <w:pStyle w:val="Heading2"/>
        <w:widowControl/>
      </w:pPr>
      <w:r>
        <w:t>Standard response shape</w:t>
      </w:r>
    </w:p>
    <w:p>
      <w:pPr>
        <w:widowControl/>
      </w:pPr>
      <w:r>
        <w:t>The examples below are included for implementation teams. Other readers can use the plain language column in the endpoint tables.</w:t>
      </w:r>
    </w:p>
    <w:p>
      <w:pPr>
        <w:pStyle w:val="APIExample"/>
        <w:widowControl/>
      </w:pPr>
      <w:r>
        <w:t>{</w:t>
        <w:br/>
        <w:t xml:space="preserve">  "data": { ... },</w:t>
        <w:br/>
        <w:t xml:space="preserve">  "request_id": "req_01..."</w:t>
        <w:br/>
        <w:t>}</w:t>
      </w:r>
    </w:p>
    <w:p>
      <w:pPr>
        <w:pStyle w:val="APIExample"/>
        <w:widowControl/>
      </w:pPr>
      <w:r>
        <w:t>{</w:t>
        <w:br/>
        <w:t xml:space="preserve">  "error": {</w:t>
        <w:br/>
        <w:t xml:space="preserve">    "code": "validation_failed",</w:t>
        <w:br/>
        <w:t xml:space="preserve">    "message": "The awareness time is required before a reporting clock can start.",</w:t>
        <w:br/>
        <w:t xml:space="preserve">    "fields": { "aware_at": "required" }</w:t>
        <w:br/>
        <w:t xml:space="preserve">  },</w:t>
        <w:br/>
        <w:t xml:space="preserve">  "request_id": "req_01..."</w:t>
        <w:br/>
        <w:t>}</w:t>
      </w:r>
    </w:p>
    <w:p>
      <w:pPr>
        <w:pStyle w:val="Heading1"/>
        <w:widowControl/>
      </w:pPr>
      <w:r>
        <w:t>6 Organizations products and releases</w:t>
      </w:r>
    </w:p>
    <w:p>
      <w:pPr>
        <w:widowControl/>
      </w:pPr>
      <w:r>
        <w:t>PandaX must know which legal organization owns a decision, which product is involved, and which exact release was analyzed. A scan without this context can be useful for investigation but cannot be treated as complete product evidence.</w:t>
      </w:r>
    </w:p>
    <w:p>
      <w:pPr>
        <w:pStyle w:val="Heading2"/>
        <w:widowControl/>
      </w:pPr>
      <w:r>
        <w:t>Organizations and access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w:t>
            </w:r>
          </w:p>
        </w:tc>
        <w:tc>
          <w:tcPr>
            <w:tcW w:type="dxa" w:w="3600"/>
            <w:shd w:fill="F4F8FC"/>
            <w:tcMar>
              <w:top w:w="60" w:type="dxa"/>
              <w:left w:w="120" w:type="dxa"/>
              <w:bottom w:w="60" w:type="dxa"/>
              <w:right w:w="120" w:type="dxa"/>
            </w:tcMar>
            <w:vAlign w:val="top"/>
          </w:tcPr>
          <w:p>
            <w:pPr>
              <w:spacing w:after="0"/>
            </w:pPr>
            <w:r>
              <w:rPr>
                <w:rFonts w:ascii="Aptos" w:hAnsi="Aptos"/>
                <w:sz w:val="16"/>
              </w:rPr>
              <w:t>POST /v1/organizations</w:t>
            </w:r>
          </w:p>
        </w:tc>
        <w:tc>
          <w:tcPr>
            <w:tcW w:type="dxa" w:w="5112"/>
            <w:shd w:fill="F4F8FC"/>
            <w:tcMar>
              <w:top w:w="60" w:type="dxa"/>
              <w:left w:w="120" w:type="dxa"/>
              <w:bottom w:w="60" w:type="dxa"/>
              <w:right w:w="120" w:type="dxa"/>
            </w:tcMar>
            <w:vAlign w:val="top"/>
          </w:tcPr>
          <w:p>
            <w:pPr>
              <w:spacing w:after="0"/>
            </w:pPr>
            <w:r>
              <w:rPr>
                <w:rFonts w:ascii="Aptos" w:hAnsi="Aptos"/>
                <w:sz w:val="16"/>
              </w:rPr>
              <w:t>Register a manufacturer or other legal entity.</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View</w:t>
            </w:r>
          </w:p>
        </w:tc>
        <w:tc>
          <w:tcPr>
            <w:tcW w:type="dxa" w:w="3600"/>
            <w:shd w:fill="FFFFFF"/>
            <w:tcMar>
              <w:top w:w="60" w:type="dxa"/>
              <w:left w:w="120" w:type="dxa"/>
              <w:bottom w:w="60" w:type="dxa"/>
              <w:right w:w="120" w:type="dxa"/>
            </w:tcMar>
            <w:vAlign w:val="top"/>
          </w:tcPr>
          <w:p>
            <w:pPr>
              <w:spacing w:after="0"/>
            </w:pPr>
            <w:r>
              <w:rPr>
                <w:rFonts w:ascii="Aptos" w:hAnsi="Aptos"/>
                <w:sz w:val="16"/>
              </w:rPr>
              <w:t>GET /v1/organizations/{organization_id}</w:t>
            </w:r>
          </w:p>
        </w:tc>
        <w:tc>
          <w:tcPr>
            <w:tcW w:type="dxa" w:w="5112"/>
            <w:shd w:fill="FFFFFF"/>
            <w:tcMar>
              <w:top w:w="60" w:type="dxa"/>
              <w:left w:w="120" w:type="dxa"/>
              <w:bottom w:w="60" w:type="dxa"/>
              <w:right w:w="120" w:type="dxa"/>
            </w:tcMar>
            <w:vAlign w:val="top"/>
          </w:tcPr>
          <w:p>
            <w:pPr>
              <w:spacing w:after="0"/>
            </w:pPr>
            <w:r>
              <w:rPr>
                <w:rFonts w:ascii="Aptos" w:hAnsi="Aptos"/>
                <w:sz w:val="16"/>
              </w:rPr>
              <w:t>View its identity and reporting contacts.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Update</w:t>
            </w:r>
          </w:p>
        </w:tc>
        <w:tc>
          <w:tcPr>
            <w:tcW w:type="dxa" w:w="3600"/>
            <w:shd w:fill="F4F8FC"/>
            <w:tcMar>
              <w:top w:w="60" w:type="dxa"/>
              <w:left w:w="120" w:type="dxa"/>
              <w:bottom w:w="60" w:type="dxa"/>
              <w:right w:w="120" w:type="dxa"/>
            </w:tcMar>
            <w:vAlign w:val="top"/>
          </w:tcPr>
          <w:p>
            <w:pPr>
              <w:spacing w:after="0"/>
            </w:pPr>
            <w:r>
              <w:rPr>
                <w:rFonts w:ascii="Aptos" w:hAnsi="Aptos"/>
                <w:sz w:val="16"/>
              </w:rPr>
              <w:t>PATCH /v1/organizations/{organization_id}</w:t>
            </w:r>
          </w:p>
        </w:tc>
        <w:tc>
          <w:tcPr>
            <w:tcW w:type="dxa" w:w="5112"/>
            <w:shd w:fill="F4F8FC"/>
            <w:tcMar>
              <w:top w:w="60" w:type="dxa"/>
              <w:left w:w="120" w:type="dxa"/>
              <w:bottom w:w="60" w:type="dxa"/>
              <w:right w:w="120" w:type="dxa"/>
            </w:tcMar>
            <w:vAlign w:val="top"/>
          </w:tcPr>
          <w:p>
            <w:pPr>
              <w:spacing w:after="0"/>
            </w:pPr>
            <w:r>
              <w:rPr>
                <w:rFonts w:ascii="Aptos" w:hAnsi="Aptos"/>
                <w:sz w:val="16"/>
              </w:rPr>
              <w:t>Change controlled organization details.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 members</w:t>
            </w:r>
          </w:p>
        </w:tc>
        <w:tc>
          <w:tcPr>
            <w:tcW w:type="dxa" w:w="3600"/>
            <w:shd w:fill="FFFFFF"/>
            <w:tcMar>
              <w:top w:w="60" w:type="dxa"/>
              <w:left w:w="120" w:type="dxa"/>
              <w:bottom w:w="60" w:type="dxa"/>
              <w:right w:w="120" w:type="dxa"/>
            </w:tcMar>
            <w:vAlign w:val="top"/>
          </w:tcPr>
          <w:p>
            <w:pPr>
              <w:spacing w:after="0"/>
            </w:pPr>
            <w:r>
              <w:rPr>
                <w:rFonts w:ascii="Aptos" w:hAnsi="Aptos"/>
                <w:sz w:val="16"/>
              </w:rPr>
              <w:t>GET /v1/organizations/{organization_id}/members</w:t>
            </w:r>
          </w:p>
        </w:tc>
        <w:tc>
          <w:tcPr>
            <w:tcW w:type="dxa" w:w="5112"/>
            <w:shd w:fill="FFFFFF"/>
            <w:tcMar>
              <w:top w:w="60" w:type="dxa"/>
              <w:left w:w="120" w:type="dxa"/>
              <w:bottom w:w="60" w:type="dxa"/>
              <w:right w:w="120" w:type="dxa"/>
            </w:tcMar>
            <w:vAlign w:val="top"/>
          </w:tcPr>
          <w:p>
            <w:pPr>
              <w:spacing w:after="0"/>
            </w:pPr>
            <w:r>
              <w:rPr>
                <w:rFonts w:ascii="Aptos" w:hAnsi="Aptos"/>
                <w:sz w:val="16"/>
              </w:rPr>
              <w:t>See who has access and each person’s role.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Add member</w:t>
            </w:r>
          </w:p>
        </w:tc>
        <w:tc>
          <w:tcPr>
            <w:tcW w:type="dxa" w:w="3600"/>
            <w:shd w:fill="F4F8FC"/>
            <w:tcMar>
              <w:top w:w="60" w:type="dxa"/>
              <w:left w:w="120" w:type="dxa"/>
              <w:bottom w:w="60" w:type="dxa"/>
              <w:right w:w="120" w:type="dxa"/>
            </w:tcMar>
            <w:vAlign w:val="top"/>
          </w:tcPr>
          <w:p>
            <w:pPr>
              <w:spacing w:after="0"/>
            </w:pPr>
            <w:r>
              <w:rPr>
                <w:rFonts w:ascii="Aptos" w:hAnsi="Aptos"/>
                <w:sz w:val="16"/>
              </w:rPr>
              <w:t>POST /v1/organizations/{organization_id}/members</w:t>
            </w:r>
          </w:p>
        </w:tc>
        <w:tc>
          <w:tcPr>
            <w:tcW w:type="dxa" w:w="5112"/>
            <w:shd w:fill="F4F8FC"/>
            <w:tcMar>
              <w:top w:w="60" w:type="dxa"/>
              <w:left w:w="120" w:type="dxa"/>
              <w:bottom w:w="60" w:type="dxa"/>
              <w:right w:w="120" w:type="dxa"/>
            </w:tcMar>
            <w:vAlign w:val="top"/>
          </w:tcPr>
          <w:p>
            <w:pPr>
              <w:spacing w:after="0"/>
            </w:pPr>
            <w:r>
              <w:rPr>
                <w:rFonts w:ascii="Aptos" w:hAnsi="Aptos"/>
                <w:sz w:val="16"/>
              </w:rPr>
              <w:t>Invite a person with a defined role.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API keys</w:t>
            </w:r>
          </w:p>
        </w:tc>
        <w:tc>
          <w:tcPr>
            <w:tcW w:type="dxa" w:w="3600"/>
            <w:shd w:fill="FFFFFF"/>
            <w:tcMar>
              <w:top w:w="60" w:type="dxa"/>
              <w:left w:w="120" w:type="dxa"/>
              <w:bottom w:w="60" w:type="dxa"/>
              <w:right w:w="120" w:type="dxa"/>
            </w:tcMar>
            <w:vAlign w:val="top"/>
          </w:tcPr>
          <w:p>
            <w:pPr>
              <w:spacing w:after="0"/>
            </w:pPr>
            <w:r>
              <w:rPr>
                <w:rFonts w:ascii="Aptos" w:hAnsi="Aptos"/>
                <w:sz w:val="16"/>
              </w:rPr>
              <w:t>POST /v1/organizations/{organization_id}/api-keys</w:t>
            </w:r>
          </w:p>
        </w:tc>
        <w:tc>
          <w:tcPr>
            <w:tcW w:type="dxa" w:w="5112"/>
            <w:shd w:fill="FFFFFF"/>
            <w:tcMar>
              <w:top w:w="60" w:type="dxa"/>
              <w:left w:w="120" w:type="dxa"/>
              <w:bottom w:w="60" w:type="dxa"/>
              <w:right w:w="120" w:type="dxa"/>
            </w:tcMar>
            <w:vAlign w:val="top"/>
          </w:tcPr>
          <w:p>
            <w:pPr>
              <w:spacing w:after="0"/>
            </w:pPr>
            <w:r>
              <w:rPr>
                <w:rFonts w:ascii="Aptos" w:hAnsi="Aptos"/>
                <w:sz w:val="16"/>
              </w:rPr>
              <w:t>Create a system credential with limited permissions.</w:t>
            </w:r>
          </w:p>
        </w:tc>
      </w:tr>
    </w:tbl>
    <w:p>
      <w:pPr>
        <w:widowControl/>
        <w:spacing w:after="20"/>
      </w:pPr>
    </w:p>
    <w:p>
      <w:pPr>
        <w:pStyle w:val="Heading2"/>
        <w:widowControl/>
      </w:pPr>
      <w:r>
        <w:t>Products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w:t>
            </w:r>
          </w:p>
        </w:tc>
        <w:tc>
          <w:tcPr>
            <w:tcW w:type="dxa" w:w="3600"/>
            <w:shd w:fill="F4F8FC"/>
            <w:tcMar>
              <w:top w:w="60" w:type="dxa"/>
              <w:left w:w="120" w:type="dxa"/>
              <w:bottom w:w="60" w:type="dxa"/>
              <w:right w:w="120" w:type="dxa"/>
            </w:tcMar>
            <w:vAlign w:val="top"/>
          </w:tcPr>
          <w:p>
            <w:pPr>
              <w:spacing w:after="0"/>
            </w:pPr>
            <w:r>
              <w:rPr>
                <w:rFonts w:ascii="Aptos" w:hAnsi="Aptos"/>
                <w:sz w:val="16"/>
              </w:rPr>
              <w:t>POST /v1/products</w:t>
            </w:r>
          </w:p>
        </w:tc>
        <w:tc>
          <w:tcPr>
            <w:tcW w:type="dxa" w:w="5112"/>
            <w:shd w:fill="F4F8FC"/>
            <w:tcMar>
              <w:top w:w="60" w:type="dxa"/>
              <w:left w:w="120" w:type="dxa"/>
              <w:bottom w:w="60" w:type="dxa"/>
              <w:right w:w="120" w:type="dxa"/>
            </w:tcMar>
            <w:vAlign w:val="top"/>
          </w:tcPr>
          <w:p>
            <w:pPr>
              <w:spacing w:after="0"/>
            </w:pPr>
            <w:r>
              <w:rPr>
                <w:rFonts w:ascii="Aptos" w:hAnsi="Aptos"/>
                <w:sz w:val="16"/>
              </w:rPr>
              <w:t>Register a product and its regulatory context.</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w:t>
            </w:r>
          </w:p>
        </w:tc>
        <w:tc>
          <w:tcPr>
            <w:tcW w:type="dxa" w:w="3600"/>
            <w:shd w:fill="FFFFFF"/>
            <w:tcMar>
              <w:top w:w="60" w:type="dxa"/>
              <w:left w:w="120" w:type="dxa"/>
              <w:bottom w:w="60" w:type="dxa"/>
              <w:right w:w="120" w:type="dxa"/>
            </w:tcMar>
            <w:vAlign w:val="top"/>
          </w:tcPr>
          <w:p>
            <w:pPr>
              <w:spacing w:after="0"/>
            </w:pPr>
            <w:r>
              <w:rPr>
                <w:rFonts w:ascii="Aptos" w:hAnsi="Aptos"/>
                <w:sz w:val="16"/>
              </w:rPr>
              <w:t>GET /v1/products</w:t>
            </w:r>
          </w:p>
        </w:tc>
        <w:tc>
          <w:tcPr>
            <w:tcW w:type="dxa" w:w="5112"/>
            <w:shd w:fill="FFFFFF"/>
            <w:tcMar>
              <w:top w:w="60" w:type="dxa"/>
              <w:left w:w="120" w:type="dxa"/>
              <w:bottom w:w="60" w:type="dxa"/>
              <w:right w:w="120" w:type="dxa"/>
            </w:tcMar>
            <w:vAlign w:val="top"/>
          </w:tcPr>
          <w:p>
            <w:pPr>
              <w:spacing w:after="0"/>
            </w:pPr>
            <w:r>
              <w:rPr>
                <w:rFonts w:ascii="Aptos" w:hAnsi="Aptos"/>
                <w:sz w:val="16"/>
              </w:rPr>
              <w:t>Find products by owner, class, market, or support state.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w:t>
            </w:r>
          </w:p>
        </w:tc>
        <w:tc>
          <w:tcPr>
            <w:tcW w:type="dxa" w:w="3600"/>
            <w:shd w:fill="F4F8FC"/>
            <w:tcMar>
              <w:top w:w="60" w:type="dxa"/>
              <w:left w:w="120" w:type="dxa"/>
              <w:bottom w:w="60" w:type="dxa"/>
              <w:right w:w="120" w:type="dxa"/>
            </w:tcMar>
            <w:vAlign w:val="top"/>
          </w:tcPr>
          <w:p>
            <w:pPr>
              <w:spacing w:after="0"/>
            </w:pPr>
            <w:r>
              <w:rPr>
                <w:rFonts w:ascii="Aptos" w:hAnsi="Aptos"/>
                <w:sz w:val="16"/>
              </w:rPr>
              <w:t>GET /v1/products/{product_id}</w:t>
            </w:r>
          </w:p>
        </w:tc>
        <w:tc>
          <w:tcPr>
            <w:tcW w:type="dxa" w:w="5112"/>
            <w:shd w:fill="F4F8FC"/>
            <w:tcMar>
              <w:top w:w="60" w:type="dxa"/>
              <w:left w:w="120" w:type="dxa"/>
              <w:bottom w:w="60" w:type="dxa"/>
              <w:right w:w="120" w:type="dxa"/>
            </w:tcMar>
            <w:vAlign w:val="top"/>
          </w:tcPr>
          <w:p>
            <w:pPr>
              <w:spacing w:after="0"/>
            </w:pPr>
            <w:r>
              <w:rPr>
                <w:rFonts w:ascii="Aptos" w:hAnsi="Aptos"/>
                <w:sz w:val="16"/>
              </w:rPr>
              <w:t>View the product record and latest compliance summary.</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Update</w:t>
            </w:r>
          </w:p>
        </w:tc>
        <w:tc>
          <w:tcPr>
            <w:tcW w:type="dxa" w:w="3600"/>
            <w:shd w:fill="FFFFFF"/>
            <w:tcMar>
              <w:top w:w="60" w:type="dxa"/>
              <w:left w:w="120" w:type="dxa"/>
              <w:bottom w:w="60" w:type="dxa"/>
              <w:right w:w="120" w:type="dxa"/>
            </w:tcMar>
            <w:vAlign w:val="top"/>
          </w:tcPr>
          <w:p>
            <w:pPr>
              <w:spacing w:after="0"/>
            </w:pPr>
            <w:r>
              <w:rPr>
                <w:rFonts w:ascii="Aptos" w:hAnsi="Aptos"/>
                <w:sz w:val="16"/>
              </w:rPr>
              <w:t>PATCH /v1/products/{product_id}</w:t>
            </w:r>
          </w:p>
        </w:tc>
        <w:tc>
          <w:tcPr>
            <w:tcW w:type="dxa" w:w="5112"/>
            <w:shd w:fill="FFFFFF"/>
            <w:tcMar>
              <w:top w:w="60" w:type="dxa"/>
              <w:left w:w="120" w:type="dxa"/>
              <w:bottom w:w="60" w:type="dxa"/>
              <w:right w:w="120" w:type="dxa"/>
            </w:tcMar>
            <w:vAlign w:val="top"/>
          </w:tcPr>
          <w:p>
            <w:pPr>
              <w:spacing w:after="0"/>
            </w:pPr>
            <w:r>
              <w:rPr>
                <w:rFonts w:ascii="Aptos" w:hAnsi="Aptos"/>
                <w:sz w:val="16"/>
              </w:rPr>
              <w:t>Change controlled product details without erasing history.</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Classify</w:t>
            </w:r>
          </w:p>
        </w:tc>
        <w:tc>
          <w:tcPr>
            <w:tcW w:type="dxa" w:w="3600"/>
            <w:shd w:fill="F4F8FC"/>
            <w:tcMar>
              <w:top w:w="60" w:type="dxa"/>
              <w:left w:w="120" w:type="dxa"/>
              <w:bottom w:w="60" w:type="dxa"/>
              <w:right w:w="120" w:type="dxa"/>
            </w:tcMar>
            <w:vAlign w:val="top"/>
          </w:tcPr>
          <w:p>
            <w:pPr>
              <w:spacing w:after="0"/>
            </w:pPr>
            <w:r>
              <w:rPr>
                <w:rFonts w:ascii="Aptos" w:hAnsi="Aptos"/>
                <w:sz w:val="16"/>
              </w:rPr>
              <w:t>POST /v1/products/{product_id}/classification-assessments</w:t>
            </w:r>
          </w:p>
        </w:tc>
        <w:tc>
          <w:tcPr>
            <w:tcW w:type="dxa" w:w="5112"/>
            <w:shd w:fill="F4F8FC"/>
            <w:tcMar>
              <w:top w:w="60" w:type="dxa"/>
              <w:left w:w="120" w:type="dxa"/>
              <w:bottom w:w="60" w:type="dxa"/>
              <w:right w:w="120" w:type="dxa"/>
            </w:tcMar>
            <w:vAlign w:val="top"/>
          </w:tcPr>
          <w:p>
            <w:pPr>
              <w:spacing w:after="0"/>
            </w:pPr>
            <w:r>
              <w:rPr>
                <w:rFonts w:ascii="Aptos" w:hAnsi="Aptos"/>
                <w:sz w:val="16"/>
              </w:rPr>
              <w:t>Record questionnaire answers, PandaX guidance, and the manufacturer’s final attestation.</w:t>
            </w:r>
          </w:p>
        </w:tc>
      </w:tr>
    </w:tbl>
    <w:p>
      <w:pPr>
        <w:widowControl/>
        <w:spacing w:after="20"/>
      </w:pPr>
    </w:p>
    <w:p>
      <w:pPr>
        <w:pStyle w:val="SmallNote"/>
        <w:widowControl/>
      </w:pPr>
      <w:r>
        <w:t>Classification output is decision support. It must show the reasoning and rules version and must not present itself as an authority decision.</w:t>
      </w:r>
    </w:p>
    <w:p>
      <w:pPr>
        <w:pStyle w:val="Heading2"/>
        <w:widowControl/>
      </w:pPr>
      <w:r>
        <w:t>Releases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w:t>
            </w:r>
          </w:p>
        </w:tc>
        <w:tc>
          <w:tcPr>
            <w:tcW w:type="dxa" w:w="3600"/>
            <w:shd w:fill="F4F8FC"/>
            <w:tcMar>
              <w:top w:w="60" w:type="dxa"/>
              <w:left w:w="120" w:type="dxa"/>
              <w:bottom w:w="60" w:type="dxa"/>
              <w:right w:w="120" w:type="dxa"/>
            </w:tcMar>
            <w:vAlign w:val="top"/>
          </w:tcPr>
          <w:p>
            <w:pPr>
              <w:spacing w:after="0"/>
            </w:pPr>
            <w:r>
              <w:rPr>
                <w:rFonts w:ascii="Aptos" w:hAnsi="Aptos"/>
                <w:sz w:val="16"/>
              </w:rPr>
              <w:t>POST /v1/products/{product_id}/releases</w:t>
            </w:r>
          </w:p>
        </w:tc>
        <w:tc>
          <w:tcPr>
            <w:tcW w:type="dxa" w:w="5112"/>
            <w:shd w:fill="F4F8FC"/>
            <w:tcMar>
              <w:top w:w="60" w:type="dxa"/>
              <w:left w:w="120" w:type="dxa"/>
              <w:bottom w:w="60" w:type="dxa"/>
              <w:right w:w="120" w:type="dxa"/>
            </w:tcMar>
            <w:vAlign w:val="top"/>
          </w:tcPr>
          <w:p>
            <w:pPr>
              <w:spacing w:after="0"/>
            </w:pPr>
            <w:r>
              <w:rPr>
                <w:rFonts w:ascii="Aptos" w:hAnsi="Aptos"/>
                <w:sz w:val="16"/>
              </w:rPr>
              <w:t>Register one product version.</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w:t>
            </w:r>
          </w:p>
        </w:tc>
        <w:tc>
          <w:tcPr>
            <w:tcW w:type="dxa" w:w="3600"/>
            <w:shd w:fill="FFFFFF"/>
            <w:tcMar>
              <w:top w:w="60" w:type="dxa"/>
              <w:left w:w="120" w:type="dxa"/>
              <w:bottom w:w="60" w:type="dxa"/>
              <w:right w:w="120" w:type="dxa"/>
            </w:tcMar>
            <w:vAlign w:val="top"/>
          </w:tcPr>
          <w:p>
            <w:pPr>
              <w:spacing w:after="0"/>
            </w:pPr>
            <w:r>
              <w:rPr>
                <w:rFonts w:ascii="Aptos" w:hAnsi="Aptos"/>
                <w:sz w:val="16"/>
              </w:rPr>
              <w:t>GET /v1/products/{product_id}/releases</w:t>
            </w:r>
          </w:p>
        </w:tc>
        <w:tc>
          <w:tcPr>
            <w:tcW w:type="dxa" w:w="5112"/>
            <w:shd w:fill="FFFFFF"/>
            <w:tcMar>
              <w:top w:w="60" w:type="dxa"/>
              <w:left w:w="120" w:type="dxa"/>
              <w:bottom w:w="60" w:type="dxa"/>
              <w:right w:w="120" w:type="dxa"/>
            </w:tcMar>
            <w:vAlign w:val="top"/>
          </w:tcPr>
          <w:p>
            <w:pPr>
              <w:spacing w:after="0"/>
            </w:pPr>
            <w:r>
              <w:rPr>
                <w:rFonts w:ascii="Aptos" w:hAnsi="Aptos"/>
                <w:sz w:val="16"/>
              </w:rPr>
              <w:t>See every release and its support state.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w:t>
            </w:r>
          </w:p>
        </w:tc>
        <w:tc>
          <w:tcPr>
            <w:tcW w:type="dxa" w:w="3600"/>
            <w:shd w:fill="F4F8FC"/>
            <w:tcMar>
              <w:top w:w="60" w:type="dxa"/>
              <w:left w:w="120" w:type="dxa"/>
              <w:bottom w:w="60" w:type="dxa"/>
              <w:right w:w="120" w:type="dxa"/>
            </w:tcMar>
            <w:vAlign w:val="top"/>
          </w:tcPr>
          <w:p>
            <w:pPr>
              <w:spacing w:after="0"/>
            </w:pPr>
            <w:r>
              <w:rPr>
                <w:rFonts w:ascii="Aptos" w:hAnsi="Aptos"/>
                <w:sz w:val="16"/>
              </w:rPr>
              <w:t>GET /v1/releases/{release_id}</w:t>
            </w:r>
          </w:p>
        </w:tc>
        <w:tc>
          <w:tcPr>
            <w:tcW w:type="dxa" w:w="5112"/>
            <w:shd w:fill="F4F8FC"/>
            <w:tcMar>
              <w:top w:w="60" w:type="dxa"/>
              <w:left w:w="120" w:type="dxa"/>
              <w:bottom w:w="60" w:type="dxa"/>
              <w:right w:w="120" w:type="dxa"/>
            </w:tcMar>
            <w:vAlign w:val="top"/>
          </w:tcPr>
          <w:p>
            <w:pPr>
              <w:spacing w:after="0"/>
            </w:pPr>
            <w:r>
              <w:rPr>
                <w:rFonts w:ascii="Aptos" w:hAnsi="Aptos"/>
                <w:sz w:val="16"/>
              </w:rPr>
              <w:t>View identifiers, dates, inputs, findings, cases, and documents.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Update</w:t>
            </w:r>
          </w:p>
        </w:tc>
        <w:tc>
          <w:tcPr>
            <w:tcW w:type="dxa" w:w="3600"/>
            <w:shd w:fill="FFFFFF"/>
            <w:tcMar>
              <w:top w:w="60" w:type="dxa"/>
              <w:left w:w="120" w:type="dxa"/>
              <w:bottom w:w="60" w:type="dxa"/>
              <w:right w:w="120" w:type="dxa"/>
            </w:tcMar>
            <w:vAlign w:val="top"/>
          </w:tcPr>
          <w:p>
            <w:pPr>
              <w:spacing w:after="0"/>
            </w:pPr>
            <w:r>
              <w:rPr>
                <w:rFonts w:ascii="Aptos" w:hAnsi="Aptos"/>
                <w:sz w:val="16"/>
              </w:rPr>
              <w:t>PATCH /v1/releases/{release_id}</w:t>
            </w:r>
          </w:p>
        </w:tc>
        <w:tc>
          <w:tcPr>
            <w:tcW w:type="dxa" w:w="5112"/>
            <w:shd w:fill="FFFFFF"/>
            <w:tcMar>
              <w:top w:w="60" w:type="dxa"/>
              <w:left w:w="120" w:type="dxa"/>
              <w:bottom w:w="60" w:type="dxa"/>
              <w:right w:w="120" w:type="dxa"/>
            </w:tcMar>
            <w:vAlign w:val="top"/>
          </w:tcPr>
          <w:p>
            <w:pPr>
              <w:spacing w:after="0"/>
            </w:pPr>
            <w:r>
              <w:rPr>
                <w:rFonts w:ascii="Aptos" w:hAnsi="Aptos"/>
                <w:sz w:val="16"/>
              </w:rPr>
              <w:t>Change release metadata with an audit event.</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Support state</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/v1/releases/{release_id}/support-transitions</w:t>
            </w:r>
          </w:p>
        </w:tc>
        <w:tc>
          <w:tcPr>
            <w:tcW w:type="dxa" w:w="5112"/>
            <w:shd w:fill="F4F8FC"/>
            <w:tcMar>
              <w:top w:w="60" w:type="dxa"/>
              <w:left w:w="120" w:type="dxa"/>
              <w:bottom w:w="60" w:type="dxa"/>
              <w:right w:w="120" w:type="dxa"/>
            </w:tcMar>
            <w:vAlign w:val="top"/>
          </w:tcPr>
          <w:p>
            <w:pPr>
              <w:spacing w:after="0"/>
            </w:pPr>
            <w:r>
              <w:rPr>
                <w:rFonts w:ascii="Aptos" w:hAnsi="Aptos"/>
                <w:sz w:val="16"/>
              </w:rPr>
              <w:t>Record release, end of support, withdrawal, or replacement.</w:t>
            </w:r>
          </w:p>
        </w:tc>
      </w:tr>
    </w:tbl>
    <w:p>
      <w:pPr>
        <w:widowControl/>
        <w:spacing w:after="20"/>
      </w:pPr>
    </w:p>
    <w:p>
      <w:pPr>
        <w:pStyle w:val="Heading3"/>
        <w:widowControl/>
      </w:pPr>
      <w:r>
        <w:t>Required release fields</w:t>
      </w:r>
    </w:p>
    <w:p>
      <w:pPr>
        <w:pStyle w:val="ListBullet"/>
        <w:widowControl/>
      </w:pPr>
      <w:r>
        <w:t>Product identity, version, build identifier, and manufacturer.</w:t>
      </w:r>
    </w:p>
    <w:p>
      <w:pPr>
        <w:pStyle w:val="ListBullet"/>
        <w:widowControl/>
      </w:pPr>
      <w:r>
        <w:t>Release date, support end date, and current support state.</w:t>
      </w:r>
    </w:p>
    <w:p>
      <w:pPr>
        <w:pStyle w:val="ListBullet"/>
        <w:widowControl/>
      </w:pPr>
      <w:r>
        <w:t>Markets and distribution channels where relevant.</w:t>
      </w:r>
    </w:p>
    <w:p>
      <w:pPr>
        <w:pStyle w:val="ListBullet"/>
        <w:widowControl/>
      </w:pPr>
      <w:r>
        <w:t>Exact artifacts and software bills of materials used as evidence.</w:t>
      </w:r>
    </w:p>
    <w:p>
      <w:pPr>
        <w:pStyle w:val="ListBullet"/>
        <w:widowControl/>
      </w:pPr>
      <w:r>
        <w:t>Optional fleet or deployment references without requiring device telemetry in the launch product.</w:t>
      </w:r>
    </w:p>
    <w:p>
      <w:pPr>
        <w:pStyle w:val="Heading1"/>
        <w:widowControl/>
      </w:pPr>
      <w:r>
        <w:t>7 Artifacts software bills of materials and scans</w:t>
      </w:r>
    </w:p>
    <w:p>
      <w:pPr>
        <w:widowControl/>
      </w:pPr>
      <w:r>
        <w:t>PandaX accepts evidence supplied by the customer or creates an inventory by analyzing an artifact. It always preserves the original input, records a checksum, and explains which analysis methods were available.</w:t>
      </w:r>
    </w:p>
    <w:p>
      <w:pPr>
        <w:pStyle w:val="Heading2"/>
        <w:widowControl/>
      </w:pPr>
      <w:r>
        <w:t>Artifacts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Upload</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/v1/releases/{release_id}/artifacts</w:t>
            </w:r>
          </w:p>
        </w:tc>
        <w:tc>
          <w:tcPr>
            <w:tcW w:type="dxa" w:w="5112"/>
            <w:shd w:fill="F4F8FC"/>
            <w:tcMar>
              <w:top w:w="60" w:type="dxa"/>
              <w:left w:w="120" w:type="dxa"/>
              <w:bottom w:w="60" w:type="dxa"/>
              <w:right w:w="120" w:type="dxa"/>
            </w:tcMar>
            <w:vAlign w:val="top"/>
          </w:tcPr>
          <w:p>
            <w:pPr>
              <w:spacing w:after="0"/>
            </w:pPr>
            <w:r>
              <w:rPr>
                <w:rFonts w:ascii="Aptos" w:hAnsi="Aptos"/>
                <w:sz w:val="16"/>
              </w:rPr>
              <w:t>Upload a file or register an approved storage reference.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View</w:t>
            </w:r>
          </w:p>
        </w:tc>
        <w:tc>
          <w:tcPr>
            <w:tcW w:type="dxa" w:w="3600"/>
            <w:shd w:fill="FFFFFF"/>
            <w:tcMar>
              <w:top w:w="60" w:type="dxa"/>
              <w:left w:w="120" w:type="dxa"/>
              <w:bottom w:w="60" w:type="dxa"/>
              <w:right w:w="120" w:type="dxa"/>
            </w:tcMar>
            <w:vAlign w:val="top"/>
          </w:tcPr>
          <w:p>
            <w:pPr>
              <w:spacing w:after="0"/>
            </w:pPr>
            <w:r>
              <w:rPr>
                <w:rFonts w:ascii="Aptos" w:hAnsi="Aptos"/>
                <w:sz w:val="16"/>
              </w:rPr>
              <w:t>GET /v1/artifacts/{artifact_id}</w:t>
            </w:r>
          </w:p>
        </w:tc>
        <w:tc>
          <w:tcPr>
            <w:tcW w:type="dxa" w:w="5112"/>
            <w:shd w:fill="FFFFFF"/>
            <w:tcMar>
              <w:top w:w="60" w:type="dxa"/>
              <w:left w:w="120" w:type="dxa"/>
              <w:bottom w:w="60" w:type="dxa"/>
              <w:right w:w="120" w:type="dxa"/>
            </w:tcMar>
            <w:vAlign w:val="top"/>
          </w:tcPr>
          <w:p>
            <w:pPr>
              <w:spacing w:after="0"/>
            </w:pPr>
            <w:r>
              <w:rPr>
                <w:rFonts w:ascii="Aptos" w:hAnsi="Aptos"/>
                <w:sz w:val="16"/>
              </w:rPr>
              <w:t>View identity, checksum, type, source, and retention state.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Download</w:t>
            </w:r>
          </w:p>
        </w:tc>
        <w:tc>
          <w:tcPr>
            <w:tcW w:type="dxa" w:w="3600"/>
            <w:shd w:fill="F4F8FC"/>
            <w:tcMar>
              <w:top w:w="60" w:type="dxa"/>
              <w:left w:w="120" w:type="dxa"/>
              <w:bottom w:w="60" w:type="dxa"/>
              <w:right w:w="120" w:type="dxa"/>
            </w:tcMar>
            <w:vAlign w:val="top"/>
          </w:tcPr>
          <w:p>
            <w:pPr>
              <w:spacing w:after="0"/>
            </w:pPr>
            <w:r>
              <w:rPr>
                <w:rFonts w:ascii="Aptos" w:hAnsi="Aptos"/>
                <w:sz w:val="16"/>
              </w:rPr>
              <w:t>GET /v1/artifacts/{artifact_id}/content</w:t>
            </w:r>
          </w:p>
        </w:tc>
        <w:tc>
          <w:tcPr>
            <w:tcW w:type="dxa" w:w="5112"/>
            <w:shd w:fill="F4F8FC"/>
            <w:tcMar>
              <w:top w:w="60" w:type="dxa"/>
              <w:left w:w="120" w:type="dxa"/>
              <w:bottom w:w="60" w:type="dxa"/>
              <w:right w:w="120" w:type="dxa"/>
            </w:tcMar>
            <w:vAlign w:val="top"/>
          </w:tcPr>
          <w:p>
            <w:pPr>
              <w:spacing w:after="0"/>
            </w:pPr>
            <w:r>
              <w:rPr>
                <w:rFonts w:ascii="Aptos" w:hAnsi="Aptos"/>
                <w:sz w:val="16"/>
              </w:rPr>
              <w:t>Retrieve the original when policy permits.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Archive</w:t>
            </w:r>
          </w:p>
        </w:tc>
        <w:tc>
          <w:tcPr>
            <w:tcW w:type="dxa" w:w="3600"/>
            <w:shd w:fill="FFFFFF"/>
            <w:tcMar>
              <w:top w:w="60" w:type="dxa"/>
              <w:left w:w="120" w:type="dxa"/>
              <w:bottom w:w="60" w:type="dxa"/>
              <w:right w:w="120" w:type="dxa"/>
            </w:tcMar>
            <w:vAlign w:val="top"/>
          </w:tcPr>
          <w:p>
            <w:pPr>
              <w:spacing w:after="0"/>
            </w:pPr>
            <w:r>
              <w:rPr>
                <w:rFonts w:ascii="Aptos" w:hAnsi="Aptos"/>
                <w:sz w:val="16"/>
              </w:rPr>
              <w:t>POST /v1/artifacts/{artifact_id}/archive</w:t>
            </w:r>
          </w:p>
        </w:tc>
        <w:tc>
          <w:tcPr>
            <w:tcW w:type="dxa" w:w="5112"/>
            <w:shd w:fill="FFFFFF"/>
            <w:tcMar>
              <w:top w:w="60" w:type="dxa"/>
              <w:left w:w="120" w:type="dxa"/>
              <w:bottom w:w="60" w:type="dxa"/>
              <w:right w:w="120" w:type="dxa"/>
            </w:tcMar>
            <w:vAlign w:val="top"/>
          </w:tcPr>
          <w:p>
            <w:pPr>
              <w:spacing w:after="0"/>
            </w:pPr>
            <w:r>
              <w:rPr>
                <w:rFonts w:ascii="Aptos" w:hAnsi="Aptos"/>
                <w:sz w:val="16"/>
              </w:rPr>
              <w:t>Stop active use while preserving the audit record.</w:t>
            </w:r>
          </w:p>
        </w:tc>
      </w:tr>
    </w:tbl>
    <w:p>
      <w:pPr>
        <w:widowControl/>
        <w:spacing w:after="20"/>
      </w:pPr>
    </w:p>
    <w:p>
      <w:pPr>
        <w:pStyle w:val="Heading2"/>
        <w:widowControl/>
      </w:pPr>
      <w:r>
        <w:t>Software bills of materials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Upload</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/v1/releases/{release_id}/sboms</w:t>
            </w:r>
          </w:p>
        </w:tc>
        <w:tc>
          <w:tcPr>
            <w:tcW w:type="dxa" w:w="5112"/>
            <w:shd w:fill="F4F8FC"/>
            <w:tcMar>
              <w:top w:w="60" w:type="dxa"/>
              <w:left w:w="120" w:type="dxa"/>
              <w:bottom w:w="60" w:type="dxa"/>
              <w:right w:w="120" w:type="dxa"/>
            </w:tcMar>
            <w:vAlign w:val="top"/>
          </w:tcPr>
          <w:p>
            <w:pPr>
              <w:spacing w:after="0"/>
            </w:pPr>
            <w:r>
              <w:rPr>
                <w:rFonts w:ascii="Aptos" w:hAnsi="Aptos"/>
                <w:sz w:val="16"/>
              </w:rPr>
              <w:t>Upload an existing software bill of materials.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Generate</w:t>
            </w:r>
          </w:p>
        </w:tc>
        <w:tc>
          <w:tcPr>
            <w:tcW w:type="dxa" w:w="3600"/>
            <w:shd w:fill="FFFFFF"/>
            <w:tcMar>
              <w:top w:w="60" w:type="dxa"/>
              <w:left w:w="120" w:type="dxa"/>
              <w:bottom w:w="60" w:type="dxa"/>
              <w:right w:w="120" w:type="dxa"/>
            </w:tcMar>
            <w:vAlign w:val="top"/>
          </w:tcPr>
          <w:p>
            <w:pPr>
              <w:spacing w:after="0"/>
            </w:pPr>
            <w:r>
              <w:rPr>
                <w:rFonts w:ascii="Aptos" w:hAnsi="Aptos"/>
                <w:sz w:val="16"/>
              </w:rPr>
              <w:t>POST /v1/releases/{release_id}/sboms:generate</w:t>
            </w:r>
          </w:p>
        </w:tc>
        <w:tc>
          <w:tcPr>
            <w:tcW w:type="dxa" w:w="5112"/>
            <w:shd w:fill="FFFFFF"/>
            <w:tcMar>
              <w:top w:w="60" w:type="dxa"/>
              <w:left w:w="120" w:type="dxa"/>
              <w:bottom w:w="60" w:type="dxa"/>
              <w:right w:w="120" w:type="dxa"/>
            </w:tcMar>
            <w:vAlign w:val="top"/>
          </w:tcPr>
          <w:p>
            <w:pPr>
              <w:spacing w:after="0"/>
            </w:pPr>
            <w:r>
              <w:rPr>
                <w:rFonts w:ascii="Aptos" w:hAnsi="Aptos"/>
                <w:sz w:val="16"/>
              </w:rPr>
              <w:t>Create an inventory from a supported artifact.</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Validate</w:t>
            </w:r>
          </w:p>
        </w:tc>
        <w:tc>
          <w:tcPr>
            <w:tcW w:type="dxa" w:w="3600"/>
            <w:shd w:fill="F4F8FC"/>
            <w:tcMar>
              <w:top w:w="60" w:type="dxa"/>
              <w:left w:w="120" w:type="dxa"/>
              <w:bottom w:w="60" w:type="dxa"/>
              <w:right w:w="120" w:type="dxa"/>
            </w:tcMar>
            <w:vAlign w:val="top"/>
          </w:tcPr>
          <w:p>
            <w:pPr>
              <w:spacing w:after="0"/>
            </w:pPr>
            <w:r>
              <w:rPr>
                <w:rFonts w:ascii="Aptos" w:hAnsi="Aptos"/>
                <w:sz w:val="16"/>
              </w:rPr>
              <w:t>POST /v1/sboms/{sbom_id}:validate</w:t>
            </w:r>
          </w:p>
        </w:tc>
        <w:tc>
          <w:tcPr>
            <w:tcW w:type="dxa" w:w="5112"/>
            <w:shd w:fill="F4F8FC"/>
            <w:tcMar>
              <w:top w:w="60" w:type="dxa"/>
              <w:left w:w="120" w:type="dxa"/>
              <w:bottom w:w="60" w:type="dxa"/>
              <w:right w:w="120" w:type="dxa"/>
            </w:tcMar>
            <w:vAlign w:val="top"/>
          </w:tcPr>
          <w:p>
            <w:pPr>
              <w:spacing w:after="0"/>
            </w:pPr>
            <w:r>
              <w:rPr>
                <w:rFonts w:ascii="Aptos" w:hAnsi="Aptos"/>
                <w:sz w:val="16"/>
              </w:rPr>
              <w:t>Check structure, required fields, and useful quality signals.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View</w:t>
            </w:r>
          </w:p>
        </w:tc>
        <w:tc>
          <w:tcPr>
            <w:tcW w:type="dxa" w:w="3600"/>
            <w:shd w:fill="FFFFFF"/>
            <w:tcMar>
              <w:top w:w="60" w:type="dxa"/>
              <w:left w:w="120" w:type="dxa"/>
              <w:bottom w:w="60" w:type="dxa"/>
              <w:right w:w="120" w:type="dxa"/>
            </w:tcMar>
            <w:vAlign w:val="top"/>
          </w:tcPr>
          <w:p>
            <w:pPr>
              <w:spacing w:after="0"/>
            </w:pPr>
            <w:r>
              <w:rPr>
                <w:rFonts w:ascii="Aptos" w:hAnsi="Aptos"/>
                <w:sz w:val="16"/>
              </w:rPr>
              <w:t>GET /v1/sboms/{sbom_id}</w:t>
            </w:r>
          </w:p>
        </w:tc>
        <w:tc>
          <w:tcPr>
            <w:tcW w:type="dxa" w:w="5112"/>
            <w:shd w:fill="FFFFFF"/>
            <w:tcMar>
              <w:top w:w="60" w:type="dxa"/>
              <w:left w:w="120" w:type="dxa"/>
              <w:bottom w:w="60" w:type="dxa"/>
              <w:right w:w="120" w:type="dxa"/>
            </w:tcMar>
            <w:vAlign w:val="top"/>
          </w:tcPr>
          <w:p>
            <w:pPr>
              <w:spacing w:after="0"/>
            </w:pPr>
            <w:r>
              <w:rPr>
                <w:rFonts w:ascii="Aptos" w:hAnsi="Aptos"/>
                <w:sz w:val="16"/>
              </w:rPr>
              <w:t>View source, format, validation, and summary.</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Components</w:t>
            </w:r>
          </w:p>
        </w:tc>
        <w:tc>
          <w:tcPr>
            <w:tcW w:type="dxa" w:w="3600"/>
            <w:shd w:fill="F4F8FC"/>
            <w:tcMar>
              <w:top w:w="60" w:type="dxa"/>
              <w:left w:w="120" w:type="dxa"/>
              <w:bottom w:w="60" w:type="dxa"/>
              <w:right w:w="120" w:type="dxa"/>
            </w:tcMar>
            <w:vAlign w:val="top"/>
          </w:tcPr>
          <w:p>
            <w:pPr>
              <w:spacing w:after="0"/>
            </w:pPr>
            <w:r>
              <w:rPr>
                <w:rFonts w:ascii="Aptos" w:hAnsi="Aptos"/>
                <w:sz w:val="16"/>
              </w:rPr>
              <w:t>GET /v1/sboms/{sbom_id}/components</w:t>
            </w:r>
          </w:p>
        </w:tc>
        <w:tc>
          <w:tcPr>
            <w:tcW w:type="dxa" w:w="5112"/>
            <w:shd w:fill="F4F8FC"/>
            <w:tcMar>
              <w:top w:w="60" w:type="dxa"/>
              <w:left w:w="120" w:type="dxa"/>
              <w:bottom w:w="60" w:type="dxa"/>
              <w:right w:w="120" w:type="dxa"/>
            </w:tcMar>
            <w:vAlign w:val="top"/>
          </w:tcPr>
          <w:p>
            <w:pPr>
              <w:spacing w:after="0"/>
            </w:pPr>
            <w:r>
              <w:rPr>
                <w:rFonts w:ascii="Aptos" w:hAnsi="Aptos"/>
                <w:sz w:val="16"/>
              </w:rPr>
              <w:t>List components and their evidence.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Export</w:t>
            </w:r>
          </w:p>
        </w:tc>
        <w:tc>
          <w:tcPr>
            <w:tcW w:type="dxa" w:w="3600"/>
            <w:shd w:fill="FFFFFF"/>
            <w:tcMar>
              <w:top w:w="60" w:type="dxa"/>
              <w:left w:w="120" w:type="dxa"/>
              <w:bottom w:w="60" w:type="dxa"/>
              <w:right w:w="120" w:type="dxa"/>
            </w:tcMar>
            <w:vAlign w:val="top"/>
          </w:tcPr>
          <w:p>
            <w:pPr>
              <w:spacing w:after="0"/>
            </w:pPr>
            <w:r>
              <w:rPr>
                <w:rFonts w:ascii="Aptos" w:hAnsi="Aptos"/>
                <w:sz w:val="16"/>
              </w:rPr>
              <w:t>GET /v1/sboms/{sbom_id}/content</w:t>
            </w:r>
          </w:p>
        </w:tc>
        <w:tc>
          <w:tcPr>
            <w:tcW w:type="dxa" w:w="5112"/>
            <w:shd w:fill="FFFFFF"/>
            <w:tcMar>
              <w:top w:w="60" w:type="dxa"/>
              <w:left w:w="120" w:type="dxa"/>
              <w:bottom w:w="60" w:type="dxa"/>
              <w:right w:w="120" w:type="dxa"/>
            </w:tcMar>
            <w:vAlign w:val="top"/>
          </w:tcPr>
          <w:p>
            <w:pPr>
              <w:spacing w:after="0"/>
            </w:pPr>
            <w:r>
              <w:rPr>
                <w:rFonts w:ascii="Aptos" w:hAnsi="Aptos"/>
                <w:sz w:val="16"/>
              </w:rPr>
              <w:t>Download the original or a declared conversion.</w:t>
            </w:r>
          </w:p>
        </w:tc>
      </w:tr>
    </w:tbl>
    <w:p>
      <w:pPr>
        <w:widowControl/>
        <w:spacing w:after="20"/>
      </w:pPr>
    </w:p>
    <w:p>
      <w:pPr>
        <w:widowControl/>
      </w:pPr>
      <w:r>
        <w:t>Launch acceptance follows what the current engine can prove: CycloneDX 1.2 and 1.6 JSON, SPDX 2.2 and 2.3 JSON, and supported directories or archives for generated inventories. XML, tag value, RDF, SWID, and additional firmware formats are advertised only after implementation and testing. The capabilities endpoint is the source of truth.</w:t>
      </w:r>
    </w:p>
    <w:p>
      <w:pPr>
        <w:pStyle w:val="Heading2"/>
        <w:widowControl/>
      </w:pPr>
      <w:r>
        <w:t>Scan runs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Start</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/v1/releases/{release_id}/scans</w:t>
            </w:r>
          </w:p>
        </w:tc>
        <w:tc>
          <w:tcPr>
            <w:tcW w:type="dxa" w:w="5112"/>
            <w:shd w:fill="F4F8FC"/>
            <w:tcMar>
              <w:top w:w="60" w:type="dxa"/>
              <w:left w:w="120" w:type="dxa"/>
              <w:bottom w:w="60" w:type="dxa"/>
              <w:right w:w="120" w:type="dxa"/>
            </w:tcMar>
            <w:vAlign w:val="top"/>
          </w:tcPr>
          <w:p>
            <w:pPr>
              <w:spacing w:after="0"/>
            </w:pPr>
            <w:r>
              <w:rPr>
                <w:rFonts w:ascii="Aptos" w:hAnsi="Aptos"/>
                <w:sz w:val="16"/>
              </w:rPr>
              <w:t>Start analysis using selected artifacts or inventories.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w:t>
            </w:r>
          </w:p>
        </w:tc>
        <w:tc>
          <w:tcPr>
            <w:tcW w:type="dxa" w:w="3600"/>
            <w:shd w:fill="FFFFFF"/>
            <w:tcMar>
              <w:top w:w="60" w:type="dxa"/>
              <w:left w:w="120" w:type="dxa"/>
              <w:bottom w:w="60" w:type="dxa"/>
              <w:right w:w="120" w:type="dxa"/>
            </w:tcMar>
            <w:vAlign w:val="top"/>
          </w:tcPr>
          <w:p>
            <w:pPr>
              <w:spacing w:after="0"/>
            </w:pPr>
            <w:r>
              <w:rPr>
                <w:rFonts w:ascii="Aptos" w:hAnsi="Aptos"/>
                <w:sz w:val="16"/>
              </w:rPr>
              <w:t>GET /v1/releases/{release_id}/scans</w:t>
            </w:r>
          </w:p>
        </w:tc>
        <w:tc>
          <w:tcPr>
            <w:tcW w:type="dxa" w:w="5112"/>
            <w:shd w:fill="FFFFFF"/>
            <w:tcMar>
              <w:top w:w="60" w:type="dxa"/>
              <w:left w:w="120" w:type="dxa"/>
              <w:bottom w:w="60" w:type="dxa"/>
              <w:right w:w="120" w:type="dxa"/>
            </w:tcMar>
            <w:vAlign w:val="top"/>
          </w:tcPr>
          <w:p>
            <w:pPr>
              <w:spacing w:after="0"/>
            </w:pPr>
            <w:r>
              <w:rPr>
                <w:rFonts w:ascii="Aptos" w:hAnsi="Aptos"/>
                <w:sz w:val="16"/>
              </w:rPr>
              <w:t>See analysis history for the release.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w:t>
            </w:r>
          </w:p>
        </w:tc>
        <w:tc>
          <w:tcPr>
            <w:tcW w:type="dxa" w:w="3600"/>
            <w:shd w:fill="F4F8FC"/>
            <w:tcMar>
              <w:top w:w="60" w:type="dxa"/>
              <w:left w:w="120" w:type="dxa"/>
              <w:bottom w:w="60" w:type="dxa"/>
              <w:right w:w="120" w:type="dxa"/>
            </w:tcMar>
            <w:vAlign w:val="top"/>
          </w:tcPr>
          <w:p>
            <w:pPr>
              <w:spacing w:after="0"/>
            </w:pPr>
            <w:r>
              <w:rPr>
                <w:rFonts w:ascii="Aptos" w:hAnsi="Aptos"/>
                <w:sz w:val="16"/>
              </w:rPr>
              <w:t>GET /v1/scans/{scan_id}</w:t>
            </w:r>
          </w:p>
        </w:tc>
        <w:tc>
          <w:tcPr>
            <w:tcW w:type="dxa" w:w="5112"/>
            <w:shd w:fill="F4F8FC"/>
            <w:tcMar>
              <w:top w:w="60" w:type="dxa"/>
              <w:left w:w="120" w:type="dxa"/>
              <w:bottom w:w="60" w:type="dxa"/>
              <w:right w:w="120" w:type="dxa"/>
            </w:tcMar>
            <w:vAlign w:val="top"/>
          </w:tcPr>
          <w:p>
            <w:pPr>
              <w:spacing w:after="0"/>
            </w:pPr>
            <w:r>
              <w:rPr>
                <w:rFonts w:ascii="Aptos" w:hAnsi="Aptos"/>
                <w:sz w:val="16"/>
              </w:rPr>
              <w:t>View progress, tools, data versions, result, and coverage.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Cancel</w:t>
            </w:r>
          </w:p>
        </w:tc>
        <w:tc>
          <w:tcPr>
            <w:tcW w:type="dxa" w:w="3600"/>
            <w:shd w:fill="FFFFFF"/>
            <w:tcMar>
              <w:top w:w="60" w:type="dxa"/>
              <w:left w:w="120" w:type="dxa"/>
              <w:bottom w:w="60" w:type="dxa"/>
              <w:right w:w="120" w:type="dxa"/>
            </w:tcMar>
            <w:vAlign w:val="top"/>
          </w:tcPr>
          <w:p>
            <w:pPr>
              <w:spacing w:after="0"/>
            </w:pPr>
            <w:r>
              <w:rPr>
                <w:rFonts w:ascii="Aptos" w:hAnsi="Aptos"/>
                <w:sz w:val="16"/>
              </w:rPr>
              <w:t>POST /v1/scans/{scan_id}:cancel</w:t>
            </w:r>
          </w:p>
        </w:tc>
        <w:tc>
          <w:tcPr>
            <w:tcW w:type="dxa" w:w="5112"/>
            <w:shd w:fill="FFFFFF"/>
            <w:tcMar>
              <w:top w:w="60" w:type="dxa"/>
              <w:left w:w="120" w:type="dxa"/>
              <w:bottom w:w="60" w:type="dxa"/>
              <w:right w:w="120" w:type="dxa"/>
            </w:tcMar>
            <w:vAlign w:val="top"/>
          </w:tcPr>
          <w:p>
            <w:pPr>
              <w:spacing w:after="0"/>
            </w:pPr>
            <w:r>
              <w:rPr>
                <w:rFonts w:ascii="Aptos" w:hAnsi="Aptos"/>
                <w:sz w:val="16"/>
              </w:rPr>
              <w:t>Request cancellation without deleting partial logs.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Logs</w:t>
            </w:r>
          </w:p>
        </w:tc>
        <w:tc>
          <w:tcPr>
            <w:tcW w:type="dxa" w:w="3600"/>
            <w:shd w:fill="F4F8FC"/>
            <w:tcMar>
              <w:top w:w="60" w:type="dxa"/>
              <w:left w:w="120" w:type="dxa"/>
              <w:bottom w:w="60" w:type="dxa"/>
              <w:right w:w="120" w:type="dxa"/>
            </w:tcMar>
            <w:vAlign w:val="top"/>
          </w:tcPr>
          <w:p>
            <w:pPr>
              <w:spacing w:after="0"/>
            </w:pPr>
            <w:r>
              <w:rPr>
                <w:rFonts w:ascii="Aptos" w:hAnsi="Aptos"/>
                <w:sz w:val="16"/>
              </w:rPr>
              <w:t>GET /v1/scans/{scan_id}/logs</w:t>
            </w:r>
          </w:p>
        </w:tc>
        <w:tc>
          <w:tcPr>
            <w:tcW w:type="dxa" w:w="5112"/>
            <w:shd w:fill="F4F8FC"/>
            <w:tcMar>
              <w:top w:w="60" w:type="dxa"/>
              <w:left w:w="120" w:type="dxa"/>
              <w:bottom w:w="60" w:type="dxa"/>
              <w:right w:w="120" w:type="dxa"/>
            </w:tcMar>
            <w:vAlign w:val="top"/>
          </w:tcPr>
          <w:p>
            <w:pPr>
              <w:spacing w:after="0"/>
            </w:pPr>
            <w:r>
              <w:rPr>
                <w:rFonts w:ascii="Aptos" w:hAnsi="Aptos"/>
                <w:sz w:val="16"/>
              </w:rPr>
              <w:t>View sanitized diagnostic details.</w:t>
            </w:r>
          </w:p>
        </w:tc>
      </w:tr>
    </w:tbl>
    <w:p>
      <w:pPr>
        <w:widowControl/>
        <w:spacing w:after="20"/>
      </w:pPr>
    </w:p>
    <w:p>
      <w:pPr>
        <w:pStyle w:val="SmallNote"/>
        <w:widowControl/>
      </w:pPr>
      <w:r>
        <w:t>The current local analysis workflow may continue to use its existing run endpoints while the product API is introduced. Those internal routes are implementation details and should be mapped to the release and scan records above.</w:t>
      </w:r>
    </w:p>
    <w:p>
      <w:pPr>
        <w:pStyle w:val="Heading1"/>
        <w:widowControl/>
      </w:pPr>
      <w:r>
        <w:t>8 Coverage findings and decisions</w:t>
      </w:r>
    </w:p>
    <w:p>
      <w:pPr>
        <w:widowControl/>
      </w:pPr>
      <w:r>
        <w:t>A trustworthy result separates what PandaX observed from what an authorized reviewer at the customer company decided. It also states the limits of the analysis.</w:t>
      </w:r>
    </w:p>
    <w:p>
      <w:pPr>
        <w:pStyle w:val="Heading2"/>
        <w:widowControl/>
      </w:pPr>
      <w:r>
        <w:t>Coverage assessment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365D"/>
            <w:tcMar>
              <w:top w:w="100" w:type="dxa"/>
              <w:left w:w="120" w:type="dxa"/>
              <w:bottom w:w="100" w:type="dxa"/>
              <w:right w:w="120" w:type="dxa"/>
            </w:tcMar>
            <w:vAlign w:val="center"/>
          </w:tcPr>
          <w:p>
            <w:pPr>
              <w:keepNext/>
            </w:pPr>
            <w:r>
              <w:rPr>
                <w:rFonts w:ascii="Aptos" w:hAnsi="Aptos"/>
                <w:b/>
                <w:color w:val="FFFFFF"/>
                <w:sz w:val="19"/>
              </w:rPr>
              <w:t>Field</w:t>
            </w:r>
          </w:p>
        </w:tc>
        <w:tc>
          <w:tcPr>
            <w:tcW w:type="dxa" w:w="4824"/>
            <w:shd w:fill="17365D"/>
            <w:tcMar>
              <w:top w:w="100" w:type="dxa"/>
              <w:left w:w="120" w:type="dxa"/>
              <w:bottom w:w="100" w:type="dxa"/>
              <w:right w:w="120" w:type="dxa"/>
            </w:tcMar>
            <w:vAlign w:val="center"/>
          </w:tcPr>
          <w:p>
            <w:pPr>
              <w:keepNext/>
            </w:pPr>
            <w:r>
              <w:rPr>
                <w:rFonts w:ascii="Aptos" w:hAnsi="Aptos"/>
                <w:b/>
                <w:color w:val="FFFFFF"/>
                <w:sz w:val="19"/>
              </w:rPr>
              <w:t>Meaning</w:t>
            </w:r>
          </w:p>
        </w:tc>
        <w:tc>
          <w:tcPr>
            <w:tcW w:type="dxa" w:w="2952"/>
            <w:shd w:fill="17365D"/>
            <w:tcMar>
              <w:top w:w="100" w:type="dxa"/>
              <w:left w:w="120" w:type="dxa"/>
              <w:bottom w:w="100" w:type="dxa"/>
              <w:right w:w="120" w:type="dxa"/>
            </w:tcMar>
            <w:vAlign w:val="center"/>
          </w:tcPr>
          <w:p>
            <w:pPr>
              <w:keepNext/>
            </w:pPr>
            <w:r>
              <w:rPr>
                <w:rFonts w:ascii="Aptos" w:hAnsi="Aptos"/>
                <w:b/>
                <w:color w:val="FFFFFF"/>
                <w:sz w:val="19"/>
              </w:rPr>
              <w:t>Example values</w:t>
            </w:r>
          </w:p>
        </w:tc>
      </w:tr>
      <w:tr>
        <w:trPr>
          <w:cantSplit/>
        </w:trPr>
        <w:tc>
          <w:tcPr>
            <w:tcW w:type="dxa" w:w="2232"/>
            <w:shd w:fill="F4F8FC"/>
            <w:tcMar>
              <w:top w:w="90" w:type="dxa"/>
              <w:left w:w="120" w:type="dxa"/>
              <w:bottom w:w="90" w:type="dxa"/>
              <w:right w:w="120" w:type="dxa"/>
            </w:tcMar>
            <w:vAlign w:val="top"/>
          </w:tcPr>
          <w:p>
            <w:pPr>
              <w:spacing w:after="0"/>
            </w:pPr>
            <w:r>
              <w:rPr>
                <w:rFonts w:ascii="Aptos" w:hAnsi="Aptos"/>
                <w:sz w:val="18"/>
              </w:rPr>
              <w:t>inventory_coverage</w:t>
            </w:r>
          </w:p>
        </w:tc>
        <w:tc>
          <w:tcPr>
            <w:tcW w:type="dxa" w:w="4824"/>
            <w:shd w:fill="F4F8FC"/>
            <w:tcMar>
              <w:top w:w="90" w:type="dxa"/>
              <w:left w:w="120" w:type="dxa"/>
              <w:bottom w:w="90" w:type="dxa"/>
              <w:right w:w="120" w:type="dxa"/>
            </w:tcMar>
            <w:vAlign w:val="top"/>
          </w:tcPr>
          <w:p>
            <w:pPr>
              <w:spacing w:after="0"/>
            </w:pPr>
            <w:r>
              <w:rPr>
                <w:rFonts w:ascii="Aptos" w:hAnsi="Aptos"/>
                <w:sz w:val="18"/>
              </w:rPr>
              <w:t>How much of the supplied software PandaX could identify</w:t>
            </w:r>
          </w:p>
        </w:tc>
        <w:tc>
          <w:tcPr>
            <w:tcW w:type="dxa" w:w="2952"/>
            <w:shd w:fill="F4F8FC"/>
            <w:tcMar>
              <w:top w:w="90" w:type="dxa"/>
              <w:left w:w="120" w:type="dxa"/>
              <w:bottom w:w="90" w:type="dxa"/>
              <w:right w:w="120" w:type="dxa"/>
            </w:tcMar>
            <w:vAlign w:val="top"/>
          </w:tcPr>
          <w:p>
            <w:pPr>
              <w:spacing w:after="0"/>
            </w:pPr>
            <w:r>
              <w:rPr>
                <w:rFonts w:ascii="Aptos" w:hAnsi="Aptos"/>
                <w:sz w:val="18"/>
              </w:rPr>
              <w:t>complete, partial, unknown</w:t>
            </w:r>
          </w:p>
        </w:tc>
      </w:tr>
      <w:tr>
        <w:trPr>
          <w:cantSplit/>
        </w:trPr>
        <w:tc>
          <w:tcPr>
            <w:tcW w:type="dxa" w:w="2232"/>
            <w:shd w:fill="FFFFFF"/>
            <w:tcMar>
              <w:top w:w="90" w:type="dxa"/>
              <w:left w:w="120" w:type="dxa"/>
              <w:bottom w:w="90" w:type="dxa"/>
              <w:right w:w="120" w:type="dxa"/>
            </w:tcMar>
            <w:vAlign w:val="top"/>
          </w:tcPr>
          <w:p>
            <w:pPr>
              <w:spacing w:after="0"/>
            </w:pPr>
            <w:r>
              <w:rPr>
                <w:rFonts w:ascii="Aptos" w:hAnsi="Aptos"/>
                <w:sz w:val="18"/>
              </w:rPr>
              <w:t>vulnerability_coverage</w:t>
            </w:r>
          </w:p>
        </w:tc>
        <w:tc>
          <w:tcPr>
            <w:tcW w:type="dxa" w:w="4824"/>
            <w:shd w:fill="FFFFFF"/>
            <w:tcMar>
              <w:top w:w="90" w:type="dxa"/>
              <w:left w:w="120" w:type="dxa"/>
              <w:bottom w:w="90" w:type="dxa"/>
              <w:right w:w="120" w:type="dxa"/>
            </w:tcMar>
            <w:vAlign w:val="top"/>
          </w:tcPr>
          <w:p>
            <w:pPr>
              <w:spacing w:after="0"/>
            </w:pPr>
            <w:r>
              <w:rPr>
                <w:rFonts w:ascii="Aptos" w:hAnsi="Aptos"/>
                <w:sz w:val="18"/>
              </w:rPr>
              <w:t>Whether identified components could be checked against available sources</w:t>
            </w:r>
          </w:p>
        </w:tc>
        <w:tc>
          <w:tcPr>
            <w:tcW w:type="dxa" w:w="2952"/>
            <w:shd w:fill="FFFFFF"/>
            <w:tcMar>
              <w:top w:w="90" w:type="dxa"/>
              <w:left w:w="120" w:type="dxa"/>
              <w:bottom w:w="90" w:type="dxa"/>
              <w:right w:w="120" w:type="dxa"/>
            </w:tcMar>
            <w:vAlign w:val="top"/>
          </w:tcPr>
          <w:p>
            <w:pPr>
              <w:spacing w:after="0"/>
            </w:pPr>
            <w:r>
              <w:rPr>
                <w:rFonts w:ascii="Aptos" w:hAnsi="Aptos"/>
                <w:sz w:val="18"/>
              </w:rPr>
              <w:t>complete, partial, stale, unavailable</w:t>
            </w:r>
          </w:p>
        </w:tc>
      </w:tr>
      <w:tr>
        <w:trPr>
          <w:cantSplit/>
        </w:trPr>
        <w:tc>
          <w:tcPr>
            <w:tcW w:type="dxa" w:w="2232"/>
            <w:shd w:fill="F4F8FC"/>
            <w:tcMar>
              <w:top w:w="90" w:type="dxa"/>
              <w:left w:w="120" w:type="dxa"/>
              <w:bottom w:w="90" w:type="dxa"/>
              <w:right w:w="120" w:type="dxa"/>
            </w:tcMar>
            <w:vAlign w:val="top"/>
          </w:tcPr>
          <w:p>
            <w:pPr>
              <w:spacing w:after="0"/>
            </w:pPr>
            <w:r>
              <w:rPr>
                <w:rFonts w:ascii="Aptos" w:hAnsi="Aptos"/>
                <w:sz w:val="18"/>
              </w:rPr>
              <w:t>package identity confidence</w:t>
            </w:r>
          </w:p>
        </w:tc>
        <w:tc>
          <w:tcPr>
            <w:tcW w:type="dxa" w:w="4824"/>
            <w:shd w:fill="F4F8FC"/>
            <w:tcMar>
              <w:top w:w="90" w:type="dxa"/>
              <w:left w:w="120" w:type="dxa"/>
              <w:bottom w:w="90" w:type="dxa"/>
              <w:right w:w="120" w:type="dxa"/>
            </w:tcMar>
            <w:vAlign w:val="top"/>
          </w:tcPr>
          <w:p>
            <w:pPr>
              <w:spacing w:after="0"/>
            </w:pPr>
            <w:r>
              <w:rPr>
                <w:rFonts w:ascii="Aptos" w:hAnsi="Aptos"/>
                <w:sz w:val="18"/>
              </w:rPr>
              <w:t>Strength of the link between bytes and a software identity</w:t>
            </w:r>
          </w:p>
        </w:tc>
        <w:tc>
          <w:tcPr>
            <w:tcW w:type="dxa" w:w="2952"/>
            <w:shd w:fill="F4F8FC"/>
            <w:tcMar>
              <w:top w:w="90" w:type="dxa"/>
              <w:left w:w="120" w:type="dxa"/>
              <w:bottom w:w="90" w:type="dxa"/>
              <w:right w:w="120" w:type="dxa"/>
            </w:tcMar>
            <w:vAlign w:val="top"/>
          </w:tcPr>
          <w:p>
            <w:pPr>
              <w:spacing w:after="0"/>
            </w:pPr>
            <w:r>
              <w:rPr>
                <w:rFonts w:ascii="Aptos" w:hAnsi="Aptos"/>
                <w:sz w:val="18"/>
              </w:rPr>
              <w:t>verified, strong, inferred, unknown</w:t>
            </w:r>
          </w:p>
        </w:tc>
      </w:tr>
      <w:tr>
        <w:trPr>
          <w:cantSplit/>
        </w:trPr>
        <w:tc>
          <w:tcPr>
            <w:tcW w:type="dxa" w:w="2232"/>
            <w:shd w:fill="FFFFFF"/>
            <w:tcMar>
              <w:top w:w="90" w:type="dxa"/>
              <w:left w:w="120" w:type="dxa"/>
              <w:bottom w:w="90" w:type="dxa"/>
              <w:right w:w="120" w:type="dxa"/>
            </w:tcMar>
            <w:vAlign w:val="top"/>
          </w:tcPr>
          <w:p>
            <w:pPr>
              <w:spacing w:after="0"/>
            </w:pPr>
            <w:r>
              <w:rPr>
                <w:rFonts w:ascii="Aptos" w:hAnsi="Aptos"/>
                <w:sz w:val="18"/>
              </w:rPr>
              <w:t>unscanned_regions</w:t>
            </w:r>
          </w:p>
        </w:tc>
        <w:tc>
          <w:tcPr>
            <w:tcW w:type="dxa" w:w="4824"/>
            <w:shd w:fill="FFFFFF"/>
            <w:tcMar>
              <w:top w:w="90" w:type="dxa"/>
              <w:left w:w="120" w:type="dxa"/>
              <w:bottom w:w="90" w:type="dxa"/>
              <w:right w:w="120" w:type="dxa"/>
            </w:tcMar>
            <w:vAlign w:val="top"/>
          </w:tcPr>
          <w:p>
            <w:pPr>
              <w:spacing w:after="0"/>
            </w:pPr>
            <w:r>
              <w:rPr>
                <w:rFonts w:ascii="Aptos" w:hAnsi="Aptos"/>
                <w:sz w:val="18"/>
              </w:rPr>
              <w:t>Areas the scanner could not inspect</w:t>
            </w:r>
          </w:p>
        </w:tc>
        <w:tc>
          <w:tcPr>
            <w:tcW w:type="dxa" w:w="2952"/>
            <w:shd w:fill="FFFFFF"/>
            <w:tcMar>
              <w:top w:w="90" w:type="dxa"/>
              <w:left w:w="120" w:type="dxa"/>
              <w:bottom w:w="90" w:type="dxa"/>
              <w:right w:w="120" w:type="dxa"/>
            </w:tcMar>
            <w:vAlign w:val="top"/>
          </w:tcPr>
          <w:p>
            <w:pPr>
              <w:spacing w:after="0"/>
            </w:pPr>
            <w:r>
              <w:rPr>
                <w:rFonts w:ascii="Aptos" w:hAnsi="Aptos"/>
                <w:sz w:val="18"/>
              </w:rPr>
              <w:t>encrypted partition, unsupported file system, excluded path</w:t>
            </w:r>
          </w:p>
        </w:tc>
      </w:tr>
      <w:tr>
        <w:trPr>
          <w:cantSplit/>
        </w:trPr>
        <w:tc>
          <w:tcPr>
            <w:tcW w:type="dxa" w:w="2232"/>
            <w:shd w:fill="F4F8FC"/>
            <w:tcMar>
              <w:top w:w="90" w:type="dxa"/>
              <w:left w:w="120" w:type="dxa"/>
              <w:bottom w:w="90" w:type="dxa"/>
              <w:right w:w="120" w:type="dxa"/>
            </w:tcMar>
            <w:vAlign w:val="top"/>
          </w:tcPr>
          <w:p>
            <w:pPr>
              <w:spacing w:after="0"/>
            </w:pPr>
            <w:r>
              <w:rPr>
                <w:rFonts w:ascii="Aptos" w:hAnsi="Aptos"/>
                <w:sz w:val="18"/>
              </w:rPr>
              <w:t>limitations</w:t>
            </w:r>
          </w:p>
        </w:tc>
        <w:tc>
          <w:tcPr>
            <w:tcW w:type="dxa" w:w="4824"/>
            <w:shd w:fill="F4F8FC"/>
            <w:tcMar>
              <w:top w:w="90" w:type="dxa"/>
              <w:left w:w="120" w:type="dxa"/>
              <w:bottom w:w="90" w:type="dxa"/>
              <w:right w:w="120" w:type="dxa"/>
            </w:tcMar>
            <w:vAlign w:val="top"/>
          </w:tcPr>
          <w:p>
            <w:pPr>
              <w:spacing w:after="0"/>
            </w:pPr>
            <w:r>
              <w:rPr>
                <w:rFonts w:ascii="Aptos" w:hAnsi="Aptos"/>
                <w:sz w:val="18"/>
              </w:rPr>
              <w:t>Human readable reasons the result may be incomplete</w:t>
            </w:r>
          </w:p>
        </w:tc>
        <w:tc>
          <w:tcPr>
            <w:tcW w:type="dxa" w:w="2952"/>
            <w:shd w:fill="F4F8FC"/>
            <w:tcMar>
              <w:top w:w="90" w:type="dxa"/>
              <w:left w:w="120" w:type="dxa"/>
              <w:bottom w:w="90" w:type="dxa"/>
              <w:right w:w="120" w:type="dxa"/>
            </w:tcMar>
            <w:vAlign w:val="top"/>
          </w:tcPr>
          <w:p>
            <w:pPr>
              <w:spacing w:after="0"/>
            </w:pPr>
            <w:r>
              <w:rPr>
                <w:rFonts w:ascii="Aptos" w:hAnsi="Aptos"/>
                <w:sz w:val="18"/>
              </w:rPr>
              <w:t>missing symbol data, unsupported container, feed refresh failed</w:t>
            </w:r>
          </w:p>
        </w:tc>
      </w:tr>
    </w:tbl>
    <w:p>
      <w:pPr>
        <w:widowControl/>
        <w:spacing w:after="20"/>
      </w:pPr>
    </w:p>
    <w:p>
      <w:pPr>
        <w:widowControl/>
      </w:pPr>
      <w:r>
        <w:t>A clean result with partial or unknown coverage is shown as inconclusive, not as proof that the product is free of vulnerabilities.</w:t>
      </w:r>
    </w:p>
    <w:p>
      <w:pPr>
        <w:pStyle w:val="Heading2"/>
        <w:widowControl/>
      </w:pPr>
      <w:r>
        <w:t>Findings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List</w:t>
            </w:r>
          </w:p>
        </w:tc>
        <w:tc>
          <w:tcPr>
            <w:tcW w:type="dxa" w:w="3600"/>
            <w:shd w:fill="F4F8FC"/>
            <w:tcMar>
              <w:top w:w="60" w:type="dxa"/>
              <w:left w:w="120" w:type="dxa"/>
              <w:bottom w:w="60" w:type="dxa"/>
              <w:right w:w="120" w:type="dxa"/>
            </w:tcMar>
            <w:vAlign w:val="top"/>
          </w:tcPr>
          <w:p>
            <w:pPr>
              <w:spacing w:after="0"/>
            </w:pPr>
            <w:r>
              <w:rPr>
                <w:rFonts w:ascii="Aptos" w:hAnsi="Aptos"/>
                <w:sz w:val="16"/>
              </w:rPr>
              <w:t>GET /v1/releases/{release_id}/findings</w:t>
            </w:r>
          </w:p>
        </w:tc>
        <w:tc>
          <w:tcPr>
            <w:tcW w:type="dxa" w:w="5112"/>
            <w:shd w:fill="F4F8FC"/>
            <w:tcMar>
              <w:top w:w="60" w:type="dxa"/>
              <w:left w:w="120" w:type="dxa"/>
              <w:bottom w:w="60" w:type="dxa"/>
              <w:right w:w="120" w:type="dxa"/>
            </w:tcMar>
            <w:vAlign w:val="top"/>
          </w:tcPr>
          <w:p>
            <w:pPr>
              <w:spacing w:after="0"/>
            </w:pPr>
            <w:r>
              <w:rPr>
                <w:rFonts w:ascii="Aptos" w:hAnsi="Aptos"/>
                <w:sz w:val="16"/>
              </w:rPr>
              <w:t>List possible issues and filter by decision state.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View</w:t>
            </w:r>
          </w:p>
        </w:tc>
        <w:tc>
          <w:tcPr>
            <w:tcW w:type="dxa" w:w="3600"/>
            <w:shd w:fill="FFFFFF"/>
            <w:tcMar>
              <w:top w:w="60" w:type="dxa"/>
              <w:left w:w="120" w:type="dxa"/>
              <w:bottom w:w="60" w:type="dxa"/>
              <w:right w:w="120" w:type="dxa"/>
            </w:tcMar>
            <w:vAlign w:val="top"/>
          </w:tcPr>
          <w:p>
            <w:pPr>
              <w:spacing w:after="0"/>
            </w:pPr>
            <w:r>
              <w:rPr>
                <w:rFonts w:ascii="Aptos" w:hAnsi="Aptos"/>
                <w:sz w:val="16"/>
              </w:rPr>
              <w:t>GET /v1/findings/{finding_id}</w:t>
            </w:r>
          </w:p>
        </w:tc>
        <w:tc>
          <w:tcPr>
            <w:tcW w:type="dxa" w:w="5112"/>
            <w:shd w:fill="FFFFFF"/>
            <w:tcMar>
              <w:top w:w="60" w:type="dxa"/>
              <w:left w:w="120" w:type="dxa"/>
              <w:bottom w:w="60" w:type="dxa"/>
              <w:right w:w="120" w:type="dxa"/>
            </w:tcMar>
            <w:vAlign w:val="top"/>
          </w:tcPr>
          <w:p>
            <w:pPr>
              <w:spacing w:after="0"/>
            </w:pPr>
            <w:r>
              <w:rPr>
                <w:rFonts w:ascii="Aptos" w:hAnsi="Aptos"/>
                <w:sz w:val="16"/>
              </w:rPr>
              <w:t>View evidence, sources, decisions, and history.</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Add evidence</w:t>
            </w:r>
          </w:p>
        </w:tc>
        <w:tc>
          <w:tcPr>
            <w:tcW w:type="dxa" w:w="3600"/>
            <w:shd w:fill="F4F8FC"/>
            <w:tcMar>
              <w:top w:w="60" w:type="dxa"/>
              <w:left w:w="120" w:type="dxa"/>
              <w:bottom w:w="60" w:type="dxa"/>
              <w:right w:w="120" w:type="dxa"/>
            </w:tcMar>
            <w:vAlign w:val="top"/>
          </w:tcPr>
          <w:p>
            <w:pPr>
              <w:spacing w:after="0"/>
            </w:pPr>
            <w:r>
              <w:rPr>
                <w:rFonts w:ascii="Aptos" w:hAnsi="Aptos"/>
                <w:sz w:val="16"/>
              </w:rPr>
              <w:t>POST /v1/findings/{finding_id}/evidence</w:t>
            </w:r>
          </w:p>
        </w:tc>
        <w:tc>
          <w:tcPr>
            <w:tcW w:type="dxa" w:w="5112"/>
            <w:shd w:fill="F4F8FC"/>
            <w:tcMar>
              <w:top w:w="60" w:type="dxa"/>
              <w:left w:w="120" w:type="dxa"/>
              <w:bottom w:w="60" w:type="dxa"/>
              <w:right w:w="120" w:type="dxa"/>
            </w:tcMar>
            <w:vAlign w:val="top"/>
          </w:tcPr>
          <w:p>
            <w:pPr>
              <w:spacing w:after="0"/>
            </w:pPr>
            <w:r>
              <w:rPr>
                <w:rFonts w:ascii="Aptos" w:hAnsi="Aptos"/>
                <w:sz w:val="16"/>
              </w:rPr>
              <w:t>Attach analysis, vendor guidance, configuration, or test evidence.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Decide</w:t>
            </w:r>
          </w:p>
        </w:tc>
        <w:tc>
          <w:tcPr>
            <w:tcW w:type="dxa" w:w="3600"/>
            <w:shd w:fill="FFFFFF"/>
            <w:tcMar>
              <w:top w:w="60" w:type="dxa"/>
              <w:left w:w="120" w:type="dxa"/>
              <w:bottom w:w="60" w:type="dxa"/>
              <w:right w:w="120" w:type="dxa"/>
            </w:tcMar>
            <w:vAlign w:val="top"/>
          </w:tcPr>
          <w:p>
            <w:pPr>
              <w:spacing w:after="0"/>
            </w:pPr>
            <w:r>
              <w:rPr>
                <w:rFonts w:ascii="Aptos" w:hAnsi="Aptos"/>
                <w:sz w:val="16"/>
              </w:rPr>
              <w:t>POST /v1/findings/{finding_id}/decisions</w:t>
            </w:r>
          </w:p>
        </w:tc>
        <w:tc>
          <w:tcPr>
            <w:tcW w:type="dxa" w:w="5112"/>
            <w:shd w:fill="FFFFFF"/>
            <w:tcMar>
              <w:top w:w="60" w:type="dxa"/>
              <w:left w:w="120" w:type="dxa"/>
              <w:bottom w:w="60" w:type="dxa"/>
              <w:right w:w="120" w:type="dxa"/>
            </w:tcMar>
            <w:vAlign w:val="top"/>
          </w:tcPr>
          <w:p>
            <w:pPr>
              <w:spacing w:after="0"/>
            </w:pPr>
            <w:r>
              <w:t>Record a decision by an authorized reviewer at the customer company, with its reason and evidence.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Export VEX</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/v1/releases/{release_id}/vex-documents</w:t>
            </w:r>
          </w:p>
        </w:tc>
        <w:tc>
          <w:tcPr>
            <w:tcW w:type="dxa" w:w="5112"/>
            <w:shd w:fill="F4F8FC"/>
            <w:tcMar>
              <w:top w:w="60" w:type="dxa"/>
              <w:left w:w="120" w:type="dxa"/>
              <w:bottom w:w="60" w:type="dxa"/>
              <w:right w:w="120" w:type="dxa"/>
            </w:tcMar>
            <w:vAlign w:val="top"/>
          </w:tcPr>
          <w:p>
            <w:pPr>
              <w:spacing w:after="0"/>
            </w:pPr>
            <w:r>
              <w:rPr>
                <w:rFonts w:ascii="Aptos" w:hAnsi="Aptos"/>
                <w:sz w:val="16"/>
              </w:rPr>
              <w:t>Create a VEX statement from approved affectedness decisions.</w:t>
            </w:r>
          </w:p>
        </w:tc>
      </w:tr>
    </w:tbl>
    <w:p>
      <w:pPr>
        <w:widowControl/>
        <w:spacing w:after="20"/>
      </w:pPr>
    </w:p>
    <w:p>
      <w:pPr>
        <w:pStyle w:val="Heading2"/>
        <w:widowControl/>
      </w:pPr>
      <w:r>
        <w:t>Separate decision fields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376"/>
            <w:shd w:fill="17365D"/>
            <w:tcMar>
              <w:top w:w="100" w:type="dxa"/>
              <w:left w:w="120" w:type="dxa"/>
              <w:bottom w:w="100" w:type="dxa"/>
              <w:right w:w="120" w:type="dxa"/>
            </w:tcMar>
            <w:vAlign w:val="center"/>
          </w:tcPr>
          <w:p>
            <w:pPr>
              <w:keepNext/>
            </w:pPr>
            <w:r>
              <w:rPr>
                <w:rFonts w:ascii="Aptos" w:hAnsi="Aptos"/>
                <w:b/>
                <w:color w:val="FFFFFF"/>
                <w:sz w:val="19"/>
              </w:rPr>
              <w:t>Question</w:t>
            </w:r>
          </w:p>
        </w:tc>
        <w:tc>
          <w:tcPr>
            <w:tcW w:type="dxa" w:w="3024"/>
            <w:shd w:fill="17365D"/>
            <w:tcMar>
              <w:top w:w="100" w:type="dxa"/>
              <w:left w:w="120" w:type="dxa"/>
              <w:bottom w:w="100" w:type="dxa"/>
              <w:right w:w="120" w:type="dxa"/>
            </w:tcMar>
            <w:vAlign w:val="center"/>
          </w:tcPr>
          <w:p>
            <w:pPr>
              <w:keepNext/>
            </w:pPr>
            <w:r>
              <w:rPr>
                <w:rFonts w:ascii="Aptos" w:hAnsi="Aptos"/>
                <w:b/>
                <w:color w:val="FFFFFF"/>
                <w:sz w:val="19"/>
              </w:rPr>
              <w:t>Allowed answer</w:t>
            </w:r>
          </w:p>
        </w:tc>
        <w:tc>
          <w:tcPr>
            <w:tcW w:type="dxa" w:w="4608"/>
            <w:shd w:fill="17365D"/>
            <w:tcMar>
              <w:top w:w="100" w:type="dxa"/>
              <w:left w:w="120" w:type="dxa"/>
              <w:bottom w:w="100" w:type="dxa"/>
              <w:right w:w="120" w:type="dxa"/>
            </w:tcMar>
            <w:vAlign w:val="center"/>
          </w:tcPr>
          <w:p>
            <w:pPr>
              <w:keepNext/>
            </w:pPr>
            <w:r>
              <w:rPr>
                <w:rFonts w:ascii="Aptos" w:hAnsi="Aptos"/>
                <w:b/>
                <w:color w:val="FFFFFF"/>
                <w:sz w:val="19"/>
              </w:rPr>
              <w:t>Why it is separate</w:t>
            </w:r>
          </w:p>
        </w:tc>
      </w:tr>
      <w:tr>
        <w:trPr>
          <w:cantSplit/>
        </w:trPr>
        <w:tc>
          <w:tcPr>
            <w:tcW w:type="dxa" w:w="2376"/>
            <w:shd w:fill="F4F8FC"/>
            <w:tcMar>
              <w:top w:w="90" w:type="dxa"/>
              <w:left w:w="120" w:type="dxa"/>
              <w:bottom w:w="90" w:type="dxa"/>
              <w:right w:w="120" w:type="dxa"/>
            </w:tcMar>
            <w:vAlign w:val="top"/>
          </w:tcPr>
          <w:p>
            <w:pPr>
              <w:spacing w:after="0"/>
            </w:pPr>
            <w:r>
              <w:rPr>
                <w:rFonts w:ascii="Aptos" w:hAnsi="Aptos"/>
                <w:sz w:val="18"/>
              </w:rPr>
              <w:t>Was there a vulnerability match</w:t>
            </w:r>
          </w:p>
        </w:tc>
        <w:tc>
          <w:tcPr>
            <w:tcW w:type="dxa" w:w="3024"/>
            <w:shd w:fill="F4F8FC"/>
            <w:tcMar>
              <w:top w:w="90" w:type="dxa"/>
              <w:left w:w="120" w:type="dxa"/>
              <w:bottom w:w="90" w:type="dxa"/>
              <w:right w:w="120" w:type="dxa"/>
            </w:tcMar>
            <w:vAlign w:val="top"/>
          </w:tcPr>
          <w:p>
            <w:pPr>
              <w:spacing w:after="0"/>
            </w:pPr>
            <w:r>
              <w:rPr>
                <w:rFonts w:ascii="Aptos" w:hAnsi="Aptos"/>
                <w:sz w:val="18"/>
              </w:rPr>
              <w:t>matched, not matched, uncertain</w:t>
            </w:r>
          </w:p>
        </w:tc>
        <w:tc>
          <w:tcPr>
            <w:tcW w:type="dxa" w:w="4608"/>
            <w:shd w:fill="F4F8FC"/>
            <w:tcMar>
              <w:top w:w="90" w:type="dxa"/>
              <w:left w:w="120" w:type="dxa"/>
              <w:bottom w:w="90" w:type="dxa"/>
              <w:right w:w="120" w:type="dxa"/>
            </w:tcMar>
            <w:vAlign w:val="top"/>
          </w:tcPr>
          <w:p>
            <w:pPr>
              <w:spacing w:after="0"/>
            </w:pPr>
            <w:r>
              <w:rPr>
                <w:rFonts w:ascii="Aptos" w:hAnsi="Aptos"/>
                <w:sz w:val="18"/>
              </w:rPr>
              <w:t>A source may associate a vulnerability with a component without proving the product is affected.</w:t>
            </w:r>
          </w:p>
        </w:tc>
      </w:tr>
      <w:tr>
        <w:trPr>
          <w:cantSplit/>
        </w:trPr>
        <w:tc>
          <w:tcPr>
            <w:tcW w:type="dxa" w:w="2376"/>
            <w:shd w:fill="FFFFFF"/>
            <w:tcMar>
              <w:top w:w="90" w:type="dxa"/>
              <w:left w:w="120" w:type="dxa"/>
              <w:bottom w:w="90" w:type="dxa"/>
              <w:right w:w="120" w:type="dxa"/>
            </w:tcMar>
            <w:vAlign w:val="top"/>
          </w:tcPr>
          <w:p>
            <w:pPr>
              <w:spacing w:after="0"/>
            </w:pPr>
            <w:r>
              <w:rPr>
                <w:rFonts w:ascii="Aptos" w:hAnsi="Aptos"/>
                <w:sz w:val="18"/>
              </w:rPr>
              <w:t>Is this release affected</w:t>
            </w:r>
          </w:p>
        </w:tc>
        <w:tc>
          <w:tcPr>
            <w:tcW w:type="dxa" w:w="3024"/>
            <w:shd w:fill="FFFFFF"/>
            <w:tcMar>
              <w:top w:w="90" w:type="dxa"/>
              <w:left w:w="120" w:type="dxa"/>
              <w:bottom w:w="90" w:type="dxa"/>
              <w:right w:w="120" w:type="dxa"/>
            </w:tcMar>
            <w:vAlign w:val="top"/>
          </w:tcPr>
          <w:p>
            <w:pPr>
              <w:spacing w:after="0"/>
            </w:pPr>
            <w:r>
              <w:rPr>
                <w:rFonts w:ascii="Aptos" w:hAnsi="Aptos"/>
                <w:sz w:val="18"/>
              </w:rPr>
              <w:t>affected, not affected, under investigation</w:t>
            </w:r>
          </w:p>
        </w:tc>
        <w:tc>
          <w:tcPr>
            <w:tcW w:type="dxa" w:w="4608"/>
            <w:shd w:fill="FFFFFF"/>
            <w:tcMar>
              <w:top w:w="90" w:type="dxa"/>
              <w:left w:w="120" w:type="dxa"/>
              <w:bottom w:w="90" w:type="dxa"/>
              <w:right w:w="120" w:type="dxa"/>
            </w:tcMar>
            <w:vAlign w:val="top"/>
          </w:tcPr>
          <w:p>
            <w:pPr>
              <w:spacing w:after="0"/>
            </w:pPr>
            <w:r>
              <w:rPr>
                <w:rFonts w:ascii="Aptos" w:hAnsi="Aptos"/>
                <w:sz w:val="18"/>
              </w:rPr>
              <w:t>Vendor backports, configuration, or product use can change the answer.</w:t>
            </w:r>
          </w:p>
        </w:tc>
      </w:tr>
      <w:tr>
        <w:trPr>
          <w:cantSplit/>
        </w:trPr>
        <w:tc>
          <w:tcPr>
            <w:tcW w:type="dxa" w:w="2376"/>
            <w:shd w:fill="F4F8FC"/>
            <w:tcMar>
              <w:top w:w="90" w:type="dxa"/>
              <w:left w:w="120" w:type="dxa"/>
              <w:bottom w:w="90" w:type="dxa"/>
              <w:right w:w="120" w:type="dxa"/>
            </w:tcMar>
            <w:vAlign w:val="top"/>
          </w:tcPr>
          <w:p>
            <w:pPr>
              <w:spacing w:after="0"/>
            </w:pPr>
            <w:r>
              <w:rPr>
                <w:rFonts w:ascii="Aptos" w:hAnsi="Aptos"/>
                <w:sz w:val="18"/>
              </w:rPr>
              <w:t>Is vulnerable behavior reachable</w:t>
            </w:r>
          </w:p>
        </w:tc>
        <w:tc>
          <w:tcPr>
            <w:tcW w:type="dxa" w:w="3024"/>
            <w:shd w:fill="F4F8FC"/>
            <w:tcMar>
              <w:top w:w="90" w:type="dxa"/>
              <w:left w:w="120" w:type="dxa"/>
              <w:bottom w:w="90" w:type="dxa"/>
              <w:right w:w="120" w:type="dxa"/>
            </w:tcMar>
            <w:vAlign w:val="top"/>
          </w:tcPr>
          <w:p>
            <w:pPr>
              <w:spacing w:after="0"/>
            </w:pPr>
            <w:r>
              <w:rPr>
                <w:rFonts w:ascii="Aptos" w:hAnsi="Aptos"/>
                <w:sz w:val="18"/>
              </w:rPr>
              <w:t>reachable, not reachable, unknown, not assessed</w:t>
            </w:r>
          </w:p>
        </w:tc>
        <w:tc>
          <w:tcPr>
            <w:tcW w:type="dxa" w:w="4608"/>
            <w:shd w:fill="F4F8FC"/>
            <w:tcMar>
              <w:top w:w="90" w:type="dxa"/>
              <w:left w:w="120" w:type="dxa"/>
              <w:bottom w:w="90" w:type="dxa"/>
              <w:right w:w="120" w:type="dxa"/>
            </w:tcMar>
            <w:vAlign w:val="top"/>
          </w:tcPr>
          <w:p>
            <w:pPr>
              <w:spacing w:after="0"/>
            </w:pPr>
            <w:r>
              <w:rPr>
                <w:rFonts w:ascii="Aptos" w:hAnsi="Aptos"/>
                <w:sz w:val="18"/>
              </w:rPr>
              <w:t>Reachability changes priority but does not replace affectedness.</w:t>
            </w:r>
          </w:p>
        </w:tc>
      </w:tr>
      <w:tr>
        <w:trPr>
          <w:cantSplit/>
        </w:trPr>
        <w:tc>
          <w:tcPr>
            <w:tcW w:type="dxa" w:w="2376"/>
            <w:shd w:fill="FFFFFF"/>
            <w:tcMar>
              <w:top w:w="90" w:type="dxa"/>
              <w:left w:w="120" w:type="dxa"/>
              <w:bottom w:w="90" w:type="dxa"/>
              <w:right w:w="120" w:type="dxa"/>
            </w:tcMar>
            <w:vAlign w:val="top"/>
          </w:tcPr>
          <w:p>
            <w:pPr>
              <w:spacing w:after="0"/>
            </w:pPr>
            <w:r>
              <w:rPr>
                <w:rFonts w:ascii="Aptos" w:hAnsi="Aptos"/>
                <w:sz w:val="18"/>
              </w:rPr>
              <w:t>Is this reportable</w:t>
            </w:r>
          </w:p>
        </w:tc>
        <w:tc>
          <w:tcPr>
            <w:tcW w:type="dxa" w:w="3024"/>
            <w:shd w:fill="FFFFFF"/>
            <w:tcMar>
              <w:top w:w="90" w:type="dxa"/>
              <w:left w:w="120" w:type="dxa"/>
              <w:bottom w:w="90" w:type="dxa"/>
              <w:right w:w="120" w:type="dxa"/>
            </w:tcMar>
            <w:vAlign w:val="top"/>
          </w:tcPr>
          <w:p>
            <w:pPr>
              <w:spacing w:after="0"/>
            </w:pPr>
            <w:r>
              <w:rPr>
                <w:rFonts w:ascii="Aptos" w:hAnsi="Aptos"/>
                <w:sz w:val="18"/>
              </w:rPr>
              <w:t>reportable, not reportable, under review</w:t>
            </w:r>
          </w:p>
        </w:tc>
        <w:tc>
          <w:tcPr>
            <w:tcW w:type="dxa" w:w="4608"/>
            <w:shd w:fill="FFFFFF"/>
            <w:tcMar>
              <w:top w:w="90" w:type="dxa"/>
              <w:left w:w="120" w:type="dxa"/>
              <w:bottom w:w="90" w:type="dxa"/>
              <w:right w:w="120" w:type="dxa"/>
            </w:tcMar>
            <w:vAlign w:val="top"/>
          </w:tcPr>
          <w:p>
            <w:pPr>
              <w:spacing w:after="0"/>
            </w:pPr>
            <w:r>
              <w:t>CRA reporting is a separate regulatory decision requiring approval by an authorized user at the customer company.</w:t>
            </w:r>
          </w:p>
        </w:tc>
      </w:tr>
      <w:tr>
        <w:trPr>
          <w:cantSplit/>
        </w:trPr>
        <w:tc>
          <w:tcPr>
            <w:tcW w:type="dxa" w:w="2376"/>
            <w:shd w:fill="F4F8FC"/>
            <w:tcMar>
              <w:top w:w="90" w:type="dxa"/>
              <w:left w:w="120" w:type="dxa"/>
              <w:bottom w:w="90" w:type="dxa"/>
              <w:right w:w="120" w:type="dxa"/>
            </w:tcMar>
            <w:vAlign w:val="top"/>
          </w:tcPr>
          <w:p>
            <w:pPr>
              <w:spacing w:after="0"/>
            </w:pPr>
            <w:r>
              <w:rPr>
                <w:rFonts w:ascii="Aptos" w:hAnsi="Aptos"/>
                <w:sz w:val="18"/>
              </w:rPr>
              <w:t>What is the workflow state</w:t>
            </w:r>
          </w:p>
        </w:tc>
        <w:tc>
          <w:tcPr>
            <w:tcW w:type="dxa" w:w="3024"/>
            <w:shd w:fill="F4F8FC"/>
            <w:tcMar>
              <w:top w:w="90" w:type="dxa"/>
              <w:left w:w="120" w:type="dxa"/>
              <w:bottom w:w="90" w:type="dxa"/>
              <w:right w:w="120" w:type="dxa"/>
            </w:tcMar>
            <w:vAlign w:val="top"/>
          </w:tcPr>
          <w:p>
            <w:pPr>
              <w:spacing w:after="0"/>
            </w:pPr>
            <w:r>
              <w:rPr>
                <w:rFonts w:ascii="Aptos" w:hAnsi="Aptos"/>
                <w:sz w:val="18"/>
              </w:rPr>
              <w:t>new, triage, action planned, resolved, accepted risk</w:t>
            </w:r>
          </w:p>
        </w:tc>
        <w:tc>
          <w:tcPr>
            <w:tcW w:type="dxa" w:w="4608"/>
            <w:shd w:fill="F4F8FC"/>
            <w:tcMar>
              <w:top w:w="90" w:type="dxa"/>
              <w:left w:w="120" w:type="dxa"/>
              <w:bottom w:w="90" w:type="dxa"/>
              <w:right w:w="120" w:type="dxa"/>
            </w:tcMar>
            <w:vAlign w:val="top"/>
          </w:tcPr>
          <w:p>
            <w:pPr>
              <w:spacing w:after="0"/>
            </w:pPr>
            <w:r>
              <w:rPr>
                <w:rFonts w:ascii="Aptos" w:hAnsi="Aptos"/>
                <w:sz w:val="18"/>
              </w:rPr>
              <w:t>Work progress must not be confused with the security conclusion.</w:t>
            </w:r>
          </w:p>
        </w:tc>
      </w:tr>
    </w:tbl>
    <w:p>
      <w:pPr>
        <w:widowControl/>
        <w:spacing w:after="20"/>
      </w:pPr>
    </w:p>
    <w:p>
      <w:pPr>
        <w:pStyle w:val="SmallNote"/>
        <w:widowControl/>
      </w:pPr>
      <w:r>
        <w:t>PandaX may suggest answers and confidence levels. Only an authorized reviewer from the customer company can approve a product or reportability decision through the dashboard or CLI.</w:t>
      </w:r>
    </w:p>
    <w:p>
      <w:pPr>
        <w:pStyle w:val="Heading1"/>
        <w:widowControl/>
      </w:pPr>
      <w:r>
        <w:t>9 Continuous monitoring</w:t>
      </w:r>
    </w:p>
    <w:p>
      <w:pPr>
        <w:widowControl/>
      </w:pPr>
      <w:r>
        <w:t>Monitoring rechecks supported releases when vulnerability sources, vendor guidance, or product evidence changes. It updates findings by adding events and new source snapshots, never by rewriting the past.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 policy</w:t>
            </w:r>
          </w:p>
        </w:tc>
        <w:tc>
          <w:tcPr>
            <w:tcW w:type="dxa" w:w="3600"/>
            <w:shd w:fill="F4F8FC"/>
            <w:tcMar>
              <w:top w:w="60" w:type="dxa"/>
              <w:left w:w="120" w:type="dxa"/>
              <w:bottom w:w="60" w:type="dxa"/>
              <w:right w:w="120" w:type="dxa"/>
            </w:tcMar>
            <w:vAlign w:val="top"/>
          </w:tcPr>
          <w:p>
            <w:pPr>
              <w:spacing w:after="0"/>
            </w:pPr>
            <w:r>
              <w:rPr>
                <w:rFonts w:ascii="Aptos" w:hAnsi="Aptos"/>
                <w:sz w:val="16"/>
              </w:rPr>
              <w:t>GET /v1/releases/{release_id}/monitoring-policy</w:t>
            </w:r>
          </w:p>
        </w:tc>
        <w:tc>
          <w:tcPr>
            <w:tcW w:type="dxa" w:w="5112"/>
            <w:shd w:fill="F4F8FC"/>
            <w:tcMar>
              <w:top w:w="60" w:type="dxa"/>
              <w:left w:w="120" w:type="dxa"/>
              <w:bottom w:w="60" w:type="dxa"/>
              <w:right w:w="120" w:type="dxa"/>
            </w:tcMar>
            <w:vAlign w:val="top"/>
          </w:tcPr>
          <w:p>
            <w:pPr>
              <w:spacing w:after="0"/>
            </w:pPr>
            <w:r>
              <w:rPr>
                <w:rFonts w:ascii="Aptos" w:hAnsi="Aptos"/>
                <w:sz w:val="16"/>
              </w:rPr>
              <w:t>View schedule, sources, owners, and alert rules.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Set policy</w:t>
            </w:r>
          </w:p>
        </w:tc>
        <w:tc>
          <w:tcPr>
            <w:tcW w:type="dxa" w:w="3600"/>
            <w:shd w:fill="FFFFFF"/>
            <w:tcMar>
              <w:top w:w="60" w:type="dxa"/>
              <w:left w:w="120" w:type="dxa"/>
              <w:bottom w:w="60" w:type="dxa"/>
              <w:right w:w="120" w:type="dxa"/>
            </w:tcMar>
            <w:vAlign w:val="top"/>
          </w:tcPr>
          <w:p>
            <w:pPr>
              <w:spacing w:after="0"/>
            </w:pPr>
            <w:r>
              <w:rPr>
                <w:rFonts w:ascii="Aptos" w:hAnsi="Aptos"/>
                <w:sz w:val="16"/>
              </w:rPr>
              <w:t>PUT /v1/releases/{release_id}/monitoring-policy</w:t>
            </w:r>
          </w:p>
        </w:tc>
        <w:tc>
          <w:tcPr>
            <w:tcW w:type="dxa" w:w="5112"/>
            <w:shd w:fill="FFFFFF"/>
            <w:tcMar>
              <w:top w:w="60" w:type="dxa"/>
              <w:left w:w="120" w:type="dxa"/>
              <w:bottom w:w="60" w:type="dxa"/>
              <w:right w:w="120" w:type="dxa"/>
            </w:tcMar>
            <w:vAlign w:val="top"/>
          </w:tcPr>
          <w:p>
            <w:pPr>
              <w:spacing w:after="0"/>
            </w:pPr>
            <w:r>
              <w:rPr>
                <w:rFonts w:ascii="Aptos" w:hAnsi="Aptos"/>
                <w:sz w:val="16"/>
              </w:rPr>
              <w:t>Enable or change monitoring for a supported release.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Refresh</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/v1/releases/{release_id}/monitoring-runs</w:t>
            </w:r>
          </w:p>
        </w:tc>
        <w:tc>
          <w:tcPr>
            <w:tcW w:type="dxa" w:w="5112"/>
            <w:shd w:fill="F4F8FC"/>
            <w:tcMar>
              <w:top w:w="60" w:type="dxa"/>
              <w:left w:w="120" w:type="dxa"/>
              <w:bottom w:w="60" w:type="dxa"/>
              <w:right w:w="120" w:type="dxa"/>
            </w:tcMar>
            <w:vAlign w:val="top"/>
          </w:tcPr>
          <w:p>
            <w:pPr>
              <w:spacing w:after="0"/>
            </w:pPr>
            <w:r>
              <w:rPr>
                <w:rFonts w:ascii="Aptos" w:hAnsi="Aptos"/>
                <w:sz w:val="16"/>
              </w:rPr>
              <w:t>Request an immediate check.</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View run</w:t>
            </w:r>
          </w:p>
        </w:tc>
        <w:tc>
          <w:tcPr>
            <w:tcW w:type="dxa" w:w="3600"/>
            <w:shd w:fill="FFFFFF"/>
            <w:tcMar>
              <w:top w:w="60" w:type="dxa"/>
              <w:left w:w="120" w:type="dxa"/>
              <w:bottom w:w="60" w:type="dxa"/>
              <w:right w:w="120" w:type="dxa"/>
            </w:tcMar>
            <w:vAlign w:val="top"/>
          </w:tcPr>
          <w:p>
            <w:pPr>
              <w:spacing w:after="0"/>
            </w:pPr>
            <w:r>
              <w:rPr>
                <w:rFonts w:ascii="Aptos" w:hAnsi="Aptos"/>
                <w:sz w:val="16"/>
              </w:rPr>
              <w:t>GET /v1/monitoring-runs/{monitoring_run_id}</w:t>
            </w:r>
          </w:p>
        </w:tc>
        <w:tc>
          <w:tcPr>
            <w:tcW w:type="dxa" w:w="5112"/>
            <w:shd w:fill="FFFFFF"/>
            <w:tcMar>
              <w:top w:w="60" w:type="dxa"/>
              <w:left w:w="120" w:type="dxa"/>
              <w:bottom w:w="60" w:type="dxa"/>
              <w:right w:w="120" w:type="dxa"/>
            </w:tcMar>
            <w:vAlign w:val="top"/>
          </w:tcPr>
          <w:p>
            <w:pPr>
              <w:spacing w:after="0"/>
            </w:pPr>
            <w:r>
              <w:rPr>
                <w:rFonts w:ascii="Aptos" w:hAnsi="Aptos"/>
                <w:sz w:val="16"/>
              </w:rPr>
              <w:t>See which sources were checked and what changed.</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List changes</w:t>
            </w:r>
          </w:p>
        </w:tc>
        <w:tc>
          <w:tcPr>
            <w:tcW w:type="dxa" w:w="3600"/>
            <w:shd w:fill="F4F8FC"/>
            <w:tcMar>
              <w:top w:w="60" w:type="dxa"/>
              <w:left w:w="120" w:type="dxa"/>
              <w:bottom w:w="60" w:type="dxa"/>
              <w:right w:w="120" w:type="dxa"/>
            </w:tcMar>
            <w:vAlign w:val="top"/>
          </w:tcPr>
          <w:p>
            <w:pPr>
              <w:spacing w:after="0"/>
            </w:pPr>
            <w:r>
              <w:rPr>
                <w:rFonts w:ascii="Aptos" w:hAnsi="Aptos"/>
                <w:sz w:val="16"/>
              </w:rPr>
              <w:t>GET /v1/monitoring-runs/{monitoring_run_id}/changes</w:t>
            </w:r>
          </w:p>
        </w:tc>
        <w:tc>
          <w:tcPr>
            <w:tcW w:type="dxa" w:w="5112"/>
            <w:shd w:fill="F4F8FC"/>
            <w:tcMar>
              <w:top w:w="60" w:type="dxa"/>
              <w:left w:w="120" w:type="dxa"/>
              <w:bottom w:w="60" w:type="dxa"/>
              <w:right w:w="120" w:type="dxa"/>
            </w:tcMar>
            <w:vAlign w:val="top"/>
          </w:tcPr>
          <w:p>
            <w:pPr>
              <w:spacing w:after="0"/>
            </w:pPr>
            <w:r>
              <w:rPr>
                <w:rFonts w:ascii="Aptos" w:hAnsi="Aptos"/>
                <w:sz w:val="16"/>
              </w:rPr>
              <w:t>View new, updated, or withdrawn information.</w:t>
            </w:r>
          </w:p>
        </w:tc>
      </w:tr>
    </w:tbl>
    <w:p>
      <w:pPr>
        <w:widowControl/>
        <w:spacing w:after="20"/>
      </w:pPr>
    </w:p>
    <w:p>
      <w:pPr>
        <w:pStyle w:val="Heading2"/>
        <w:widowControl/>
      </w:pPr>
      <w:r>
        <w:t>Monitoring rules</w:t>
      </w:r>
    </w:p>
    <w:p>
      <w:pPr>
        <w:pStyle w:val="ListBullet"/>
        <w:widowControl/>
      </w:pPr>
      <w:r>
        <w:t>A new Known Exploited Vulnerabilities match raises priority but does not automatically declare the product reportable.</w:t>
      </w:r>
    </w:p>
    <w:p>
      <w:pPr>
        <w:pStyle w:val="ListBullet"/>
        <w:widowControl/>
      </w:pPr>
      <w:r>
        <w:t>Backport and vendor advisory evidence can change affectedness only through a recorded decision.</w:t>
      </w:r>
    </w:p>
    <w:p>
      <w:pPr>
        <w:pStyle w:val="ListBullet"/>
        <w:widowControl/>
      </w:pPr>
      <w:r>
        <w:t>A monitoring run states if any source was stale, unavailable, or only partially checked.</w:t>
      </w:r>
    </w:p>
    <w:p>
      <w:pPr>
        <w:pStyle w:val="ListBullet"/>
        <w:widowControl/>
      </w:pPr>
      <w:r>
        <w:t>Repeated observations update the same finding or case where identity is strong enough, avoiding duplicate work.</w:t>
      </w:r>
    </w:p>
    <w:p>
      <w:pPr>
        <w:pStyle w:val="ListBullet"/>
        <w:widowControl/>
      </w:pPr>
      <w:r>
        <w:t>Monitoring ends or changes when the release leaves support, subject to retention and legal hold rules.</w:t>
      </w:r>
    </w:p>
    <w:p>
      <w:pPr>
        <w:pStyle w:val="Heading1"/>
        <w:widowControl/>
      </w:pPr>
      <w:r>
        <w:t>10 Regulatory cases and deadlines</w:t>
      </w:r>
    </w:p>
    <w:p>
      <w:pPr>
        <w:widowControl/>
      </w:pPr>
      <w:r>
        <w:t>A regulatory case is the durable workspace for one possibly reportable actively exploited vulnerability or severe incident. The updated code already implements persisted remediation cases, case events, report revisions, candidate fixed releases, and confirmation of a measure by a company user. The final API keeps that foundation and extends it to the full reporting lifecycle.</w:t>
      </w:r>
    </w:p>
    <w:p>
      <w:pPr>
        <w:pStyle w:val="Heading2"/>
        <w:widowControl/>
      </w:pPr>
      <w:r>
        <w:t>Case types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448"/>
            <w:shd w:fill="17365D"/>
            <w:tcMar>
              <w:top w:w="100" w:type="dxa"/>
              <w:left w:w="120" w:type="dxa"/>
              <w:bottom w:w="100" w:type="dxa"/>
              <w:right w:w="120" w:type="dxa"/>
            </w:tcMar>
            <w:vAlign w:val="center"/>
          </w:tcPr>
          <w:p>
            <w:pPr>
              <w:keepNext/>
            </w:pPr>
            <w:r>
              <w:rPr>
                <w:rFonts w:ascii="Aptos" w:hAnsi="Aptos"/>
                <w:b/>
                <w:color w:val="FFFFFF"/>
                <w:sz w:val="19"/>
              </w:rPr>
              <w:t>Case type</w:t>
            </w:r>
          </w:p>
        </w:tc>
        <w:tc>
          <w:tcPr>
            <w:tcW w:type="dxa" w:w="4536"/>
            <w:shd w:fill="17365D"/>
            <w:tcMar>
              <w:top w:w="100" w:type="dxa"/>
              <w:left w:w="120" w:type="dxa"/>
              <w:bottom w:w="100" w:type="dxa"/>
              <w:right w:w="120" w:type="dxa"/>
            </w:tcMar>
            <w:vAlign w:val="center"/>
          </w:tcPr>
          <w:p>
            <w:pPr>
              <w:keepNext/>
            </w:pPr>
            <w:r>
              <w:rPr>
                <w:rFonts w:ascii="Aptos" w:hAnsi="Aptos"/>
                <w:b/>
                <w:color w:val="FFFFFF"/>
                <w:sz w:val="19"/>
              </w:rPr>
              <w:t>Use it for</w:t>
            </w:r>
          </w:p>
        </w:tc>
        <w:tc>
          <w:tcPr>
            <w:tcW w:type="dxa" w:w="3024"/>
            <w:shd w:fill="17365D"/>
            <w:tcMar>
              <w:top w:w="100" w:type="dxa"/>
              <w:left w:w="120" w:type="dxa"/>
              <w:bottom w:w="100" w:type="dxa"/>
              <w:right w:w="120" w:type="dxa"/>
            </w:tcMar>
            <w:vAlign w:val="center"/>
          </w:tcPr>
          <w:p>
            <w:pPr>
              <w:keepNext/>
            </w:pPr>
            <w:r>
              <w:rPr>
                <w:rFonts w:ascii="Aptos" w:hAnsi="Aptos"/>
                <w:b/>
                <w:color w:val="FFFFFF"/>
                <w:sz w:val="19"/>
              </w:rPr>
              <w:t>Final report timing</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Actively exploited vulnerability</w:t>
            </w:r>
          </w:p>
        </w:tc>
        <w:tc>
          <w:tcPr>
            <w:tcW w:type="dxa" w:w="4536"/>
            <w:shd w:fill="F4F8FC"/>
            <w:tcMar>
              <w:top w:w="90" w:type="dxa"/>
              <w:left w:w="120" w:type="dxa"/>
              <w:bottom w:w="90" w:type="dxa"/>
              <w:right w:w="120" w:type="dxa"/>
            </w:tcMar>
            <w:vAlign w:val="top"/>
          </w:tcPr>
          <w:p>
            <w:pPr>
              <w:spacing w:after="0"/>
            </w:pPr>
            <w:r>
              <w:rPr>
                <w:rFonts w:ascii="Aptos" w:hAnsi="Aptos"/>
                <w:sz w:val="18"/>
              </w:rPr>
              <w:t>A vulnerability with evidence of active exploitation that may affect the product</w:t>
            </w:r>
          </w:p>
        </w:tc>
        <w:tc>
          <w:tcPr>
            <w:tcW w:type="dxa" w:w="3024"/>
            <w:shd w:fill="F4F8FC"/>
            <w:tcMar>
              <w:top w:w="90" w:type="dxa"/>
              <w:left w:w="120" w:type="dxa"/>
              <w:bottom w:w="90" w:type="dxa"/>
              <w:right w:w="120" w:type="dxa"/>
            </w:tcMar>
            <w:vAlign w:val="top"/>
          </w:tcPr>
          <w:p>
            <w:pPr>
              <w:spacing w:after="0"/>
            </w:pPr>
            <w:r>
              <w:rPr>
                <w:rFonts w:ascii="Aptos" w:hAnsi="Aptos"/>
                <w:sz w:val="18"/>
              </w:rPr>
              <w:t>Fourteen days after a corrective or mitigating measure becomes available</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Severe security incident</w:t>
            </w:r>
          </w:p>
        </w:tc>
        <w:tc>
          <w:tcPr>
            <w:tcW w:type="dxa" w:w="4536"/>
            <w:shd w:fill="FFFFFF"/>
            <w:tcMar>
              <w:top w:w="90" w:type="dxa"/>
              <w:left w:w="120" w:type="dxa"/>
              <w:bottom w:w="90" w:type="dxa"/>
              <w:right w:w="120" w:type="dxa"/>
            </w:tcMar>
            <w:vAlign w:val="top"/>
          </w:tcPr>
          <w:p>
            <w:pPr>
              <w:spacing w:after="0"/>
            </w:pPr>
            <w:r>
              <w:rPr>
                <w:rFonts w:ascii="Aptos" w:hAnsi="Aptos"/>
                <w:sz w:val="18"/>
              </w:rPr>
              <w:t>A severe incident affecting the security of the product</w:t>
            </w:r>
          </w:p>
        </w:tc>
        <w:tc>
          <w:tcPr>
            <w:tcW w:type="dxa" w:w="3024"/>
            <w:shd w:fill="FFFFFF"/>
            <w:tcMar>
              <w:top w:w="90" w:type="dxa"/>
              <w:left w:w="120" w:type="dxa"/>
              <w:bottom w:w="90" w:type="dxa"/>
              <w:right w:w="120" w:type="dxa"/>
            </w:tcMar>
            <w:vAlign w:val="top"/>
          </w:tcPr>
          <w:p>
            <w:r>
              <w:t>One month after the 72 hour notification</w:t>
            </w:r>
          </w:p>
        </w:tc>
      </w:tr>
    </w:tbl>
    <w:p>
      <w:pPr>
        <w:widowControl/>
        <w:spacing w:after="20"/>
      </w:pPr>
    </w:p>
    <w:p>
      <w:pPr>
        <w:widowControl/>
      </w:pPr>
      <w:r>
        <w:t>The two case types share evidence and review concepts but keep separate report content and deadline rules.</w:t>
      </w:r>
    </w:p>
    <w:p>
      <w:pPr>
        <w:pStyle w:val="Heading2"/>
        <w:widowControl/>
      </w:pPr>
      <w:r>
        <w:t>Case actions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w:t>
            </w:r>
          </w:p>
        </w:tc>
        <w:tc>
          <w:tcPr>
            <w:tcW w:type="dxa" w:w="3600"/>
            <w:shd w:fill="F4F8FC"/>
            <w:tcMar>
              <w:top w:w="60" w:type="dxa"/>
              <w:left w:w="120" w:type="dxa"/>
              <w:bottom w:w="60" w:type="dxa"/>
              <w:right w:w="120" w:type="dxa"/>
            </w:tcMar>
            <w:vAlign w:val="top"/>
          </w:tcPr>
          <w:p>
            <w:pPr>
              <w:spacing w:after="0"/>
            </w:pPr>
            <w:r>
              <w:rPr>
                <w:rFonts w:ascii="Aptos" w:hAnsi="Aptos"/>
                <w:sz w:val="16"/>
              </w:rPr>
              <w:t>POST /v1/cases</w:t>
            </w:r>
          </w:p>
        </w:tc>
        <w:tc>
          <w:tcPr>
            <w:tcW w:type="dxa" w:w="5112"/>
            <w:shd w:fill="F4F8FC"/>
            <w:tcMar>
              <w:top w:w="60" w:type="dxa"/>
              <w:left w:w="120" w:type="dxa"/>
              <w:bottom w:w="60" w:type="dxa"/>
              <w:right w:w="120" w:type="dxa"/>
            </w:tcMar>
            <w:vAlign w:val="top"/>
          </w:tcPr>
          <w:p>
            <w:pPr>
              <w:spacing w:after="0"/>
            </w:pPr>
            <w:r>
              <w:rPr>
                <w:rFonts w:ascii="Aptos" w:hAnsi="Aptos"/>
                <w:sz w:val="16"/>
              </w:rPr>
              <w:t>Open or reuse a case for a product event.</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w:t>
            </w:r>
          </w:p>
        </w:tc>
        <w:tc>
          <w:tcPr>
            <w:tcW w:type="dxa" w:w="3600"/>
            <w:shd w:fill="FFFFFF"/>
            <w:tcMar>
              <w:top w:w="60" w:type="dxa"/>
              <w:left w:w="120" w:type="dxa"/>
              <w:bottom w:w="60" w:type="dxa"/>
              <w:right w:w="120" w:type="dxa"/>
            </w:tcMar>
            <w:vAlign w:val="top"/>
          </w:tcPr>
          <w:p>
            <w:pPr>
              <w:spacing w:after="0"/>
            </w:pPr>
            <w:r>
              <w:rPr>
                <w:rFonts w:ascii="Aptos" w:hAnsi="Aptos"/>
                <w:sz w:val="16"/>
              </w:rPr>
              <w:t>GET /v1/cases</w:t>
            </w:r>
          </w:p>
        </w:tc>
        <w:tc>
          <w:tcPr>
            <w:tcW w:type="dxa" w:w="5112"/>
            <w:shd w:fill="FFFFFF"/>
            <w:tcMar>
              <w:top w:w="60" w:type="dxa"/>
              <w:left w:w="120" w:type="dxa"/>
              <w:bottom w:w="60" w:type="dxa"/>
              <w:right w:w="120" w:type="dxa"/>
            </w:tcMar>
            <w:vAlign w:val="top"/>
          </w:tcPr>
          <w:p>
            <w:pPr>
              <w:spacing w:after="0"/>
            </w:pPr>
            <w:r>
              <w:rPr>
                <w:rFonts w:ascii="Aptos" w:hAnsi="Aptos"/>
                <w:sz w:val="16"/>
              </w:rPr>
              <w:t>Find cases by organization, product, type, owner, state, or deadline.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w:t>
            </w:r>
          </w:p>
        </w:tc>
        <w:tc>
          <w:tcPr>
            <w:tcW w:type="dxa" w:w="3600"/>
            <w:shd w:fill="F4F8FC"/>
            <w:tcMar>
              <w:top w:w="60" w:type="dxa"/>
              <w:left w:w="120" w:type="dxa"/>
              <w:bottom w:w="60" w:type="dxa"/>
              <w:right w:w="120" w:type="dxa"/>
            </w:tcMar>
            <w:vAlign w:val="top"/>
          </w:tcPr>
          <w:p>
            <w:pPr>
              <w:spacing w:after="0"/>
            </w:pPr>
            <w:r>
              <w:rPr>
                <w:rFonts w:ascii="Aptos" w:hAnsi="Aptos"/>
                <w:sz w:val="16"/>
              </w:rPr>
              <w:t>GET /v1/cases/{case_id}</w:t>
            </w:r>
          </w:p>
        </w:tc>
        <w:tc>
          <w:tcPr>
            <w:tcW w:type="dxa" w:w="5112"/>
            <w:shd w:fill="F4F8FC"/>
            <w:tcMar>
              <w:top w:w="60" w:type="dxa"/>
              <w:left w:w="120" w:type="dxa"/>
              <w:bottom w:w="60" w:type="dxa"/>
              <w:right w:w="120" w:type="dxa"/>
            </w:tcMar>
            <w:vAlign w:val="top"/>
          </w:tcPr>
          <w:p>
            <w:pPr>
              <w:spacing w:after="0"/>
            </w:pPr>
            <w:r>
              <w:rPr>
                <w:rFonts w:ascii="Aptos" w:hAnsi="Aptos"/>
                <w:sz w:val="16"/>
              </w:rPr>
              <w:t>View the case, clocks, findings, decisions, reports, and latest events.</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Add event</w:t>
            </w:r>
          </w:p>
        </w:tc>
        <w:tc>
          <w:tcPr>
            <w:tcW w:type="dxa" w:w="3600"/>
            <w:shd w:fill="FFFFFF"/>
            <w:tcMar>
              <w:top w:w="60" w:type="dxa"/>
              <w:left w:w="120" w:type="dxa"/>
              <w:bottom w:w="60" w:type="dxa"/>
              <w:right w:w="120" w:type="dxa"/>
            </w:tcMar>
            <w:vAlign w:val="top"/>
          </w:tcPr>
          <w:p>
            <w:pPr>
              <w:spacing w:after="0"/>
            </w:pPr>
            <w:r>
              <w:rPr>
                <w:rFonts w:ascii="Aptos" w:hAnsi="Aptos"/>
                <w:sz w:val="16"/>
              </w:rPr>
              <w:t>POST /v1/cases/{case_id}/events</w:t>
            </w:r>
          </w:p>
        </w:tc>
        <w:tc>
          <w:tcPr>
            <w:tcW w:type="dxa" w:w="5112"/>
            <w:shd w:fill="FFFFFF"/>
            <w:tcMar>
              <w:top w:w="60" w:type="dxa"/>
              <w:left w:w="120" w:type="dxa"/>
              <w:bottom w:w="60" w:type="dxa"/>
              <w:right w:w="120" w:type="dxa"/>
            </w:tcMar>
            <w:vAlign w:val="top"/>
          </w:tcPr>
          <w:p>
            <w:pPr>
              <w:spacing w:after="0"/>
            </w:pPr>
            <w:r>
              <w:rPr>
                <w:rFonts w:ascii="Aptos" w:hAnsi="Aptos"/>
                <w:sz w:val="16"/>
              </w:rPr>
              <w:t>Record an observation, decision, assignment, or milestone.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Record awareness</w:t>
            </w:r>
          </w:p>
        </w:tc>
        <w:tc>
          <w:tcPr>
            <w:tcW w:type="dxa" w:w="3600"/>
            <w:shd w:fill="F4F8FC"/>
            <w:tcMar>
              <w:top w:w="60" w:type="dxa"/>
              <w:left w:w="120" w:type="dxa"/>
              <w:bottom w:w="60" w:type="dxa"/>
              <w:right w:w="120" w:type="dxa"/>
            </w:tcMar>
            <w:vAlign w:val="top"/>
          </w:tcPr>
          <w:p>
            <w:pPr>
              <w:spacing w:after="0"/>
            </w:pPr>
            <w:r>
              <w:rPr>
                <w:rFonts w:ascii="Aptos" w:hAnsi="Aptos"/>
                <w:sz w:val="16"/>
              </w:rPr>
              <w:t>POST /v1/cases/{case_id}/awareness</w:t>
            </w:r>
          </w:p>
        </w:tc>
        <w:tc>
          <w:tcPr>
            <w:tcW w:type="dxa" w:w="5112"/>
            <w:shd w:fill="F4F8FC"/>
            <w:tcMar>
              <w:top w:w="60" w:type="dxa"/>
              <w:left w:w="120" w:type="dxa"/>
              <w:bottom w:w="60" w:type="dxa"/>
              <w:right w:w="120" w:type="dxa"/>
            </w:tcMar>
            <w:vAlign w:val="top"/>
          </w:tcPr>
          <w:p>
            <w:pPr>
              <w:spacing w:after="0"/>
            </w:pPr>
            <w:r>
              <w:rPr>
                <w:rFonts w:ascii="Aptos" w:hAnsi="Aptos"/>
                <w:sz w:val="16"/>
              </w:rPr>
              <w:t>State when the manufacturer became aware and who approved that record.</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Observe release</w:t>
            </w:r>
          </w:p>
        </w:tc>
        <w:tc>
          <w:tcPr>
            <w:tcW w:type="dxa" w:w="3600"/>
            <w:shd w:fill="FFFFFF"/>
            <w:tcMar>
              <w:top w:w="60" w:type="dxa"/>
              <w:left w:w="120" w:type="dxa"/>
              <w:bottom w:w="60" w:type="dxa"/>
              <w:right w:w="120" w:type="dxa"/>
            </w:tcMar>
            <w:vAlign w:val="top"/>
          </w:tcPr>
          <w:p>
            <w:pPr>
              <w:spacing w:after="0"/>
            </w:pPr>
            <w:r>
              <w:rPr>
                <w:rFonts w:ascii="Aptos" w:hAnsi="Aptos"/>
                <w:sz w:val="16"/>
              </w:rPr>
              <w:t>POST /v1/cases/{case_id}/observed-releases</w:t>
            </w:r>
          </w:p>
        </w:tc>
        <w:tc>
          <w:tcPr>
            <w:tcW w:type="dxa" w:w="5112"/>
            <w:shd w:fill="FFFFFF"/>
            <w:tcMar>
              <w:top w:w="60" w:type="dxa"/>
              <w:left w:w="120" w:type="dxa"/>
              <w:bottom w:w="60" w:type="dxa"/>
              <w:right w:w="120" w:type="dxa"/>
            </w:tcMar>
            <w:vAlign w:val="top"/>
          </w:tcPr>
          <w:p>
            <w:pPr>
              <w:spacing w:after="0"/>
            </w:pPr>
            <w:r>
              <w:rPr>
                <w:rFonts w:ascii="Aptos" w:hAnsi="Aptos"/>
                <w:sz w:val="16"/>
              </w:rPr>
              <w:t>Link a possible fixed or mitigated release as evidence.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Confirm measure</w:t>
            </w:r>
          </w:p>
        </w:tc>
        <w:tc>
          <w:tcPr>
            <w:tcW w:type="dxa" w:w="3600"/>
            <w:shd w:fill="F4F8FC"/>
            <w:tcMar>
              <w:top w:w="60" w:type="dxa"/>
              <w:left w:w="120" w:type="dxa"/>
              <w:bottom w:w="60" w:type="dxa"/>
              <w:right w:w="120" w:type="dxa"/>
            </w:tcMar>
            <w:vAlign w:val="top"/>
          </w:tcPr>
          <w:p>
            <w:pPr>
              <w:spacing w:after="0"/>
            </w:pPr>
            <w:r>
              <w:rPr>
                <w:rFonts w:ascii="Aptos" w:hAnsi="Aptos"/>
                <w:sz w:val="16"/>
              </w:rPr>
              <w:t>POST /v1/cases/{case_id}/measures</w:t>
            </w:r>
          </w:p>
        </w:tc>
        <w:tc>
          <w:tcPr>
            <w:tcW w:type="dxa" w:w="5112"/>
            <w:shd w:fill="F4F8FC"/>
            <w:tcMar>
              <w:top w:w="60" w:type="dxa"/>
              <w:left w:w="120" w:type="dxa"/>
              <w:bottom w:w="60" w:type="dxa"/>
              <w:right w:w="120" w:type="dxa"/>
            </w:tcMar>
            <w:vAlign w:val="top"/>
          </w:tcPr>
          <w:p>
            <w:pPr>
              <w:spacing w:after="0"/>
            </w:pPr>
            <w:r>
              <w:t>An authorized user from the customer company confirms a measure and when it became available.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Assign</w:t>
            </w:r>
          </w:p>
        </w:tc>
        <w:tc>
          <w:tcPr>
            <w:tcW w:type="dxa" w:w="3600"/>
            <w:shd w:fill="FFFFFF"/>
            <w:tcMar>
              <w:top w:w="60" w:type="dxa"/>
              <w:left w:w="120" w:type="dxa"/>
              <w:bottom w:w="60" w:type="dxa"/>
              <w:right w:w="120" w:type="dxa"/>
            </w:tcMar>
            <w:vAlign w:val="top"/>
          </w:tcPr>
          <w:p>
            <w:pPr>
              <w:spacing w:after="0"/>
            </w:pPr>
            <w:r>
              <w:rPr>
                <w:rFonts w:ascii="Aptos" w:hAnsi="Aptos"/>
                <w:sz w:val="16"/>
              </w:rPr>
              <w:t>POST /v1/cases/{case_id}/assignments</w:t>
            </w:r>
          </w:p>
        </w:tc>
        <w:tc>
          <w:tcPr>
            <w:tcW w:type="dxa" w:w="5112"/>
            <w:shd w:fill="FFFFFF"/>
            <w:tcMar>
              <w:top w:w="60" w:type="dxa"/>
              <w:left w:w="120" w:type="dxa"/>
              <w:bottom w:w="60" w:type="dxa"/>
              <w:right w:w="120" w:type="dxa"/>
            </w:tcMar>
            <w:vAlign w:val="top"/>
          </w:tcPr>
          <w:p>
            <w:pPr>
              <w:spacing w:after="0"/>
            </w:pPr>
            <w:r>
              <w:rPr>
                <w:rFonts w:ascii="Aptos" w:hAnsi="Aptos"/>
                <w:sz w:val="16"/>
              </w:rPr>
              <w:t>Assign owner and reviewers.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Close</w:t>
            </w:r>
          </w:p>
        </w:tc>
        <w:tc>
          <w:tcPr>
            <w:tcW w:type="dxa" w:w="3600"/>
            <w:shd w:fill="F4F8FC"/>
            <w:tcMar>
              <w:top w:w="60" w:type="dxa"/>
              <w:left w:w="120" w:type="dxa"/>
              <w:bottom w:w="60" w:type="dxa"/>
              <w:right w:w="120" w:type="dxa"/>
            </w:tcMar>
            <w:vAlign w:val="top"/>
          </w:tcPr>
          <w:p>
            <w:pPr>
              <w:spacing w:after="0"/>
            </w:pPr>
            <w:r>
              <w:rPr>
                <w:rFonts w:ascii="Aptos" w:hAnsi="Aptos"/>
                <w:sz w:val="16"/>
              </w:rPr>
              <w:t>POST /v1/cases/{case_id}:close</w:t>
            </w:r>
          </w:p>
        </w:tc>
        <w:tc>
          <w:tcPr>
            <w:tcW w:type="dxa" w:w="5112"/>
            <w:shd w:fill="F4F8FC"/>
            <w:tcMar>
              <w:top w:w="60" w:type="dxa"/>
              <w:left w:w="120" w:type="dxa"/>
              <w:bottom w:w="60" w:type="dxa"/>
              <w:right w:w="120" w:type="dxa"/>
            </w:tcMar>
            <w:vAlign w:val="top"/>
          </w:tcPr>
          <w:p>
            <w:pPr>
              <w:spacing w:after="0"/>
            </w:pPr>
            <w:r>
              <w:rPr>
                <w:rFonts w:ascii="Aptos" w:hAnsi="Aptos"/>
                <w:sz w:val="16"/>
              </w:rPr>
              <w:t>Close with a reason after required work is complete.</w:t>
            </w:r>
          </w:p>
        </w:tc>
      </w:tr>
    </w:tbl>
    <w:p>
      <w:pPr>
        <w:widowControl/>
        <w:spacing w:after="20"/>
      </w:pPr>
    </w:p>
    <w:p>
      <w:pPr>
        <w:pStyle w:val="Heading2"/>
        <w:widowControl/>
      </w:pPr>
      <w:r>
        <w:t>Time records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232"/>
            <w:shd w:fill="17365D"/>
            <w:tcMar>
              <w:top w:w="100" w:type="dxa"/>
              <w:left w:w="120" w:type="dxa"/>
              <w:bottom w:w="100" w:type="dxa"/>
              <w:right w:w="120" w:type="dxa"/>
            </w:tcMar>
            <w:vAlign w:val="center"/>
          </w:tcPr>
          <w:p>
            <w:pPr>
              <w:keepNext/>
            </w:pPr>
            <w:r>
              <w:rPr>
                <w:rFonts w:ascii="Aptos" w:hAnsi="Aptos"/>
                <w:b/>
                <w:color w:val="FFFFFF"/>
                <w:sz w:val="19"/>
              </w:rPr>
              <w:t>Time</w:t>
            </w:r>
          </w:p>
        </w:tc>
        <w:tc>
          <w:tcPr>
            <w:tcW w:type="dxa" w:w="4536"/>
            <w:shd w:fill="17365D"/>
            <w:tcMar>
              <w:top w:w="100" w:type="dxa"/>
              <w:left w:w="120" w:type="dxa"/>
              <w:bottom w:w="100" w:type="dxa"/>
              <w:right w:w="120" w:type="dxa"/>
            </w:tcMar>
            <w:vAlign w:val="center"/>
          </w:tcPr>
          <w:p>
            <w:pPr>
              <w:keepNext/>
            </w:pPr>
            <w:r>
              <w:rPr>
                <w:rFonts w:ascii="Aptos" w:hAnsi="Aptos"/>
                <w:b/>
                <w:color w:val="FFFFFF"/>
                <w:sz w:val="19"/>
              </w:rPr>
              <w:t>Meaning</w:t>
            </w:r>
          </w:p>
        </w:tc>
        <w:tc>
          <w:tcPr>
            <w:tcW w:type="dxa" w:w="3240"/>
            <w:shd w:fill="17365D"/>
            <w:tcMar>
              <w:top w:w="100" w:type="dxa"/>
              <w:left w:w="120" w:type="dxa"/>
              <w:bottom w:w="100" w:type="dxa"/>
              <w:right w:w="120" w:type="dxa"/>
            </w:tcMar>
            <w:vAlign w:val="center"/>
          </w:tcPr>
          <w:p>
            <w:pPr>
              <w:keepNext/>
            </w:pPr>
            <w:r>
              <w:rPr>
                <w:rFonts w:ascii="Aptos" w:hAnsi="Aptos"/>
                <w:b/>
                <w:color w:val="FFFFFF"/>
                <w:sz w:val="19"/>
              </w:rPr>
              <w:t>Clock effect</w:t>
            </w:r>
          </w:p>
        </w:tc>
      </w:tr>
      <w:tr>
        <w:trPr>
          <w:cantSplit/>
        </w:trPr>
        <w:tc>
          <w:tcPr>
            <w:tcW w:type="dxa" w:w="2232"/>
            <w:shd w:fill="F4F8FC"/>
            <w:tcMar>
              <w:top w:w="90" w:type="dxa"/>
              <w:left w:w="120" w:type="dxa"/>
              <w:bottom w:w="90" w:type="dxa"/>
              <w:right w:w="120" w:type="dxa"/>
            </w:tcMar>
            <w:vAlign w:val="top"/>
          </w:tcPr>
          <w:p>
            <w:pPr>
              <w:spacing w:after="0"/>
            </w:pPr>
            <w:r>
              <w:rPr>
                <w:rFonts w:ascii="Aptos" w:hAnsi="Aptos"/>
                <w:sz w:val="18"/>
              </w:rPr>
              <w:t>occurred_at</w:t>
            </w:r>
          </w:p>
        </w:tc>
        <w:tc>
          <w:tcPr>
            <w:tcW w:type="dxa" w:w="4536"/>
            <w:shd w:fill="F4F8FC"/>
            <w:tcMar>
              <w:top w:w="90" w:type="dxa"/>
              <w:left w:w="120" w:type="dxa"/>
              <w:bottom w:w="90" w:type="dxa"/>
              <w:right w:w="120" w:type="dxa"/>
            </w:tcMar>
            <w:vAlign w:val="top"/>
          </w:tcPr>
          <w:p>
            <w:pPr>
              <w:spacing w:after="0"/>
            </w:pPr>
            <w:r>
              <w:rPr>
                <w:rFonts w:ascii="Aptos" w:hAnsi="Aptos"/>
                <w:sz w:val="18"/>
              </w:rPr>
              <w:t>When the event appears to have happened</w:t>
            </w:r>
          </w:p>
        </w:tc>
        <w:tc>
          <w:tcPr>
            <w:tcW w:type="dxa" w:w="3240"/>
            <w:shd w:fill="F4F8FC"/>
            <w:tcMar>
              <w:top w:w="90" w:type="dxa"/>
              <w:left w:w="120" w:type="dxa"/>
              <w:bottom w:w="90" w:type="dxa"/>
              <w:right w:w="120" w:type="dxa"/>
            </w:tcMar>
            <w:vAlign w:val="top"/>
          </w:tcPr>
          <w:p>
            <w:pPr>
              <w:spacing w:after="0"/>
            </w:pPr>
            <w:r>
              <w:rPr>
                <w:rFonts w:ascii="Aptos" w:hAnsi="Aptos"/>
                <w:sz w:val="18"/>
              </w:rPr>
              <w:t>Context only until confirmed</w:t>
            </w:r>
          </w:p>
        </w:tc>
      </w:tr>
      <w:tr>
        <w:trPr>
          <w:cantSplit/>
        </w:trPr>
        <w:tc>
          <w:tcPr>
            <w:tcW w:type="dxa" w:w="2232"/>
            <w:shd w:fill="FFFFFF"/>
            <w:tcMar>
              <w:top w:w="90" w:type="dxa"/>
              <w:left w:w="120" w:type="dxa"/>
              <w:bottom w:w="90" w:type="dxa"/>
              <w:right w:w="120" w:type="dxa"/>
            </w:tcMar>
            <w:vAlign w:val="top"/>
          </w:tcPr>
          <w:p>
            <w:pPr>
              <w:spacing w:after="0"/>
            </w:pPr>
            <w:r>
              <w:rPr>
                <w:rFonts w:ascii="Aptos" w:hAnsi="Aptos"/>
                <w:sz w:val="18"/>
              </w:rPr>
              <w:t>detected_at</w:t>
            </w:r>
          </w:p>
        </w:tc>
        <w:tc>
          <w:tcPr>
            <w:tcW w:type="dxa" w:w="4536"/>
            <w:shd w:fill="FFFFFF"/>
            <w:tcMar>
              <w:top w:w="90" w:type="dxa"/>
              <w:left w:w="120" w:type="dxa"/>
              <w:bottom w:w="90" w:type="dxa"/>
              <w:right w:w="120" w:type="dxa"/>
            </w:tcMar>
            <w:vAlign w:val="top"/>
          </w:tcPr>
          <w:p>
            <w:pPr>
              <w:spacing w:after="0"/>
            </w:pPr>
            <w:r>
              <w:rPr>
                <w:rFonts w:ascii="Aptos" w:hAnsi="Aptos"/>
                <w:sz w:val="18"/>
              </w:rPr>
              <w:t>When a tool or person first detected it</w:t>
            </w:r>
          </w:p>
        </w:tc>
        <w:tc>
          <w:tcPr>
            <w:tcW w:type="dxa" w:w="3240"/>
            <w:shd w:fill="FFFFFF"/>
            <w:tcMar>
              <w:top w:w="90" w:type="dxa"/>
              <w:left w:w="120" w:type="dxa"/>
              <w:bottom w:w="90" w:type="dxa"/>
              <w:right w:w="120" w:type="dxa"/>
            </w:tcMar>
            <w:vAlign w:val="top"/>
          </w:tcPr>
          <w:p>
            <w:pPr>
              <w:spacing w:after="0"/>
            </w:pPr>
            <w:r>
              <w:rPr>
                <w:rFonts w:ascii="Aptos" w:hAnsi="Aptos"/>
                <w:sz w:val="18"/>
              </w:rPr>
              <w:t>Does not automatically start the legal clock</w:t>
            </w:r>
          </w:p>
        </w:tc>
      </w:tr>
      <w:tr>
        <w:trPr>
          <w:cantSplit/>
        </w:trPr>
        <w:tc>
          <w:tcPr>
            <w:tcW w:type="dxa" w:w="2232"/>
            <w:shd w:fill="F4F8FC"/>
            <w:tcMar>
              <w:top w:w="90" w:type="dxa"/>
              <w:left w:w="120" w:type="dxa"/>
              <w:bottom w:w="90" w:type="dxa"/>
              <w:right w:w="120" w:type="dxa"/>
            </w:tcMar>
            <w:vAlign w:val="top"/>
          </w:tcPr>
          <w:p>
            <w:pPr>
              <w:spacing w:after="0"/>
            </w:pPr>
            <w:r>
              <w:rPr>
                <w:rFonts w:ascii="Aptos" w:hAnsi="Aptos"/>
                <w:sz w:val="18"/>
              </w:rPr>
              <w:t>aware_at</w:t>
            </w:r>
          </w:p>
        </w:tc>
        <w:tc>
          <w:tcPr>
            <w:tcW w:type="dxa" w:w="4536"/>
            <w:shd w:fill="F4F8FC"/>
            <w:tcMar>
              <w:top w:w="90" w:type="dxa"/>
              <w:left w:w="120" w:type="dxa"/>
              <w:bottom w:w="90" w:type="dxa"/>
              <w:right w:w="120" w:type="dxa"/>
            </w:tcMar>
            <w:vAlign w:val="top"/>
          </w:tcPr>
          <w:p>
            <w:pPr>
              <w:spacing w:after="0"/>
            </w:pPr>
            <w:r>
              <w:rPr>
                <w:rFonts w:ascii="Aptos" w:hAnsi="Aptos"/>
                <w:sz w:val="18"/>
              </w:rPr>
              <w:t>When the manufacturer is recorded as aware</w:t>
            </w:r>
          </w:p>
        </w:tc>
        <w:tc>
          <w:tcPr>
            <w:tcW w:type="dxa" w:w="3240"/>
            <w:shd w:fill="F4F8FC"/>
            <w:tcMar>
              <w:top w:w="90" w:type="dxa"/>
              <w:left w:w="120" w:type="dxa"/>
              <w:bottom w:w="90" w:type="dxa"/>
              <w:right w:w="120" w:type="dxa"/>
            </w:tcMar>
            <w:vAlign w:val="top"/>
          </w:tcPr>
          <w:p>
            <w:pPr>
              <w:spacing w:after="0"/>
            </w:pPr>
            <w:r>
              <w:rPr>
                <w:rFonts w:ascii="Aptos" w:hAnsi="Aptos"/>
                <w:sz w:val="18"/>
              </w:rPr>
              <w:t>Starts 24 hour and 72 hour reporting clocks</w:t>
            </w:r>
          </w:p>
        </w:tc>
      </w:tr>
      <w:tr>
        <w:trPr>
          <w:cantSplit/>
        </w:trPr>
        <w:tc>
          <w:tcPr>
            <w:tcW w:type="dxa" w:w="2232"/>
            <w:shd w:fill="FFFFFF"/>
            <w:tcMar>
              <w:top w:w="90" w:type="dxa"/>
              <w:left w:w="120" w:type="dxa"/>
              <w:bottom w:w="90" w:type="dxa"/>
              <w:right w:w="120" w:type="dxa"/>
            </w:tcMar>
            <w:vAlign w:val="top"/>
          </w:tcPr>
          <w:p>
            <w:pPr>
              <w:spacing w:after="0"/>
            </w:pPr>
            <w:r>
              <w:rPr>
                <w:rFonts w:ascii="Aptos" w:hAnsi="Aptos"/>
                <w:sz w:val="18"/>
              </w:rPr>
              <w:t>measure_available_at</w:t>
            </w:r>
          </w:p>
        </w:tc>
        <w:tc>
          <w:tcPr>
            <w:tcW w:type="dxa" w:w="4536"/>
            <w:shd w:fill="FFFFFF"/>
            <w:tcMar>
              <w:top w:w="90" w:type="dxa"/>
              <w:left w:w="120" w:type="dxa"/>
              <w:bottom w:w="90" w:type="dxa"/>
              <w:right w:w="120" w:type="dxa"/>
            </w:tcMar>
            <w:vAlign w:val="top"/>
          </w:tcPr>
          <w:p>
            <w:pPr>
              <w:spacing w:after="0"/>
            </w:pPr>
            <w:r>
              <w:rPr>
                <w:rFonts w:ascii="Aptos" w:hAnsi="Aptos"/>
                <w:sz w:val="18"/>
              </w:rPr>
              <w:t>When a corrective or mitigating measure became available</w:t>
            </w:r>
          </w:p>
        </w:tc>
        <w:tc>
          <w:tcPr>
            <w:tcW w:type="dxa" w:w="3240"/>
            <w:shd w:fill="FFFFFF"/>
            <w:tcMar>
              <w:top w:w="90" w:type="dxa"/>
              <w:left w:w="120" w:type="dxa"/>
              <w:bottom w:w="90" w:type="dxa"/>
              <w:right w:w="120" w:type="dxa"/>
            </w:tcMar>
            <w:vAlign w:val="top"/>
          </w:tcPr>
          <w:p>
            <w:pPr>
              <w:spacing w:after="0"/>
            </w:pPr>
            <w:r>
              <w:rPr>
                <w:rFonts w:ascii="Aptos" w:hAnsi="Aptos"/>
                <w:sz w:val="18"/>
              </w:rPr>
              <w:t>Starts the fourteen day final report clock for an actively exploited vulnerability</w:t>
            </w:r>
          </w:p>
        </w:tc>
      </w:tr>
      <w:tr>
        <w:trPr>
          <w:cantSplit/>
        </w:trPr>
        <w:tc>
          <w:tcPr>
            <w:tcW w:type="dxa" w:w="2232"/>
            <w:shd w:fill="F4F8FC"/>
            <w:tcMar>
              <w:top w:w="90" w:type="dxa"/>
              <w:left w:w="120" w:type="dxa"/>
              <w:bottom w:w="90" w:type="dxa"/>
              <w:right w:w="120" w:type="dxa"/>
            </w:tcMar>
            <w:vAlign w:val="top"/>
          </w:tcPr>
          <w:p>
            <w:r>
              <w:t>notification_72h_at</w:t>
            </w:r>
          </w:p>
        </w:tc>
        <w:tc>
          <w:tcPr>
            <w:tcW w:type="dxa" w:w="4536"/>
            <w:shd w:fill="F4F8FC"/>
            <w:tcMar>
              <w:top w:w="90" w:type="dxa"/>
              <w:left w:w="120" w:type="dxa"/>
              <w:bottom w:w="90" w:type="dxa"/>
              <w:right w:w="120" w:type="dxa"/>
            </w:tcMar>
            <w:vAlign w:val="top"/>
          </w:tcPr>
          <w:p>
            <w:r>
              <w:t>When the 72 hour notification was made</w:t>
            </w:r>
          </w:p>
        </w:tc>
        <w:tc>
          <w:tcPr>
            <w:tcW w:type="dxa" w:w="3240"/>
            <w:shd w:fill="F4F8FC"/>
            <w:tcMar>
              <w:top w:w="90" w:type="dxa"/>
              <w:left w:w="120" w:type="dxa"/>
              <w:bottom w:w="90" w:type="dxa"/>
              <w:right w:w="120" w:type="dxa"/>
            </w:tcMar>
            <w:vAlign w:val="top"/>
          </w:tcPr>
          <w:p>
            <w:r>
              <w:t>Starts the one month final report clock for a severe incident</w:t>
            </w:r>
          </w:p>
        </w:tc>
      </w:tr>
      <w:tr>
        <w:trPr>
          <w:cantSplit/>
        </w:trPr>
        <w:tc>
          <w:tcPr>
            <w:tcW w:type="dxa" w:w="2232"/>
            <w:shd w:fill="FFFFFF"/>
            <w:tcMar>
              <w:top w:w="90" w:type="dxa"/>
              <w:left w:w="120" w:type="dxa"/>
              <w:bottom w:w="90" w:type="dxa"/>
              <w:right w:w="120" w:type="dxa"/>
            </w:tcMar>
            <w:vAlign w:val="top"/>
          </w:tcPr>
          <w:p>
            <w:pPr>
              <w:spacing w:after="0"/>
            </w:pPr>
            <w:r>
              <w:rPr>
                <w:rFonts w:ascii="Aptos" w:hAnsi="Aptos"/>
                <w:sz w:val="18"/>
              </w:rPr>
              <w:t>recorded_at</w:t>
            </w:r>
          </w:p>
        </w:tc>
        <w:tc>
          <w:tcPr>
            <w:tcW w:type="dxa" w:w="4536"/>
            <w:shd w:fill="FFFFFF"/>
            <w:tcMar>
              <w:top w:w="90" w:type="dxa"/>
              <w:left w:w="120" w:type="dxa"/>
              <w:bottom w:w="90" w:type="dxa"/>
              <w:right w:w="120" w:type="dxa"/>
            </w:tcMar>
            <w:vAlign w:val="top"/>
          </w:tcPr>
          <w:p>
            <w:pPr>
              <w:spacing w:after="0"/>
            </w:pPr>
            <w:r>
              <w:rPr>
                <w:rFonts w:ascii="Aptos" w:hAnsi="Aptos"/>
                <w:sz w:val="18"/>
              </w:rPr>
              <w:t>When PandaX saved the information</w:t>
            </w:r>
          </w:p>
        </w:tc>
        <w:tc>
          <w:tcPr>
            <w:tcW w:type="dxa" w:w="3240"/>
            <w:shd w:fill="FFFFFF"/>
            <w:tcMar>
              <w:top w:w="90" w:type="dxa"/>
              <w:left w:w="120" w:type="dxa"/>
              <w:bottom w:w="90" w:type="dxa"/>
              <w:right w:w="120" w:type="dxa"/>
            </w:tcMar>
            <w:vAlign w:val="top"/>
          </w:tcPr>
          <w:p>
            <w:pPr>
              <w:spacing w:after="0"/>
            </w:pPr>
            <w:r>
              <w:rPr>
                <w:rFonts w:ascii="Aptos" w:hAnsi="Aptos"/>
                <w:sz w:val="18"/>
              </w:rPr>
              <w:t>Audit evidence only</w:t>
            </w:r>
          </w:p>
        </w:tc>
      </w:tr>
    </w:tbl>
    <w:p>
      <w:pPr>
        <w:widowControl/>
        <w:spacing w:after="20"/>
      </w:pPr>
    </w:p>
    <w:p>
      <w:pPr>
        <w:pStyle w:val="Heading2"/>
        <w:widowControl/>
      </w:pPr>
      <w:r>
        <w:t>Clock rules</w:t>
      </w:r>
    </w:p>
    <w:p>
      <w:pPr>
        <w:pStyle w:val="ListBullet"/>
        <w:widowControl/>
      </w:pPr>
      <w:r>
        <w:t>Early warning is due within 24 hours after awareness.</w:t>
      </w:r>
    </w:p>
    <w:p>
      <w:pPr>
        <w:pStyle w:val="ListBullet"/>
        <w:widowControl/>
      </w:pPr>
      <w:r>
        <w:t>The vulnerability or incident notification is due within 72 hours after awareness.</w:t>
      </w:r>
    </w:p>
    <w:p>
      <w:pPr>
        <w:pStyle w:val="ListBullet"/>
        <w:widowControl/>
      </w:pPr>
      <w:r>
        <w:t>For an actively exploited vulnerability, the final report is due within 14 days after a corrective or mitigating measure becomes available.</w:t>
      </w:r>
    </w:p>
    <w:p>
      <w:pPr>
        <w:pStyle w:val="ListBullet"/>
        <w:widowControl/>
      </w:pPr>
      <w:r>
        <w:t>For a severe incident, the final report is due within one month after the 72 hour notification.</w:t>
      </w:r>
    </w:p>
    <w:p>
      <w:pPr>
        <w:pStyle w:val="ListBullet"/>
        <w:widowControl/>
      </w:pPr>
      <w:r>
        <w:t>If the trigger needed for a final deadline is not known, the deadline is pending. PandaX must not invent a date.</w:t>
      </w:r>
    </w:p>
    <w:p>
      <w:pPr>
        <w:pStyle w:val="ListBullet"/>
        <w:widowControl/>
      </w:pPr>
      <w:r>
        <w:t>Rules are calculated by a versioned regulatory ruleset, and each case keeps the version used for its calculation.</w:t>
      </w:r>
    </w:p>
    <w:p>
      <w:pPr>
        <w:pStyle w:val="Heading1"/>
        <w:widowControl/>
      </w:pPr>
      <w:r>
        <w:t>11 Reports review and submission evidence</w:t>
      </w:r>
    </w:p>
    <w:p>
      <w:pPr>
        <w:widowControl/>
      </w:pPr>
      <w:r>
        <w:t>PandaX prepares report stages from approved facts. It never submits a report before an authorized user at the customer company approves the exact revision, and it never claims success without evidence from the official platform. Every material revision has an author, checksum, approval state, filing record, and source record.</w:t>
      </w:r>
    </w:p>
    <w:p>
      <w:pPr>
        <w:pStyle w:val="Heading2"/>
        <w:widowControl/>
      </w:pPr>
      <w:r>
        <w:t>Report stages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65D"/>
            <w:tcMar>
              <w:top w:w="100" w:type="dxa"/>
              <w:left w:w="120" w:type="dxa"/>
              <w:bottom w:w="100" w:type="dxa"/>
              <w:right w:w="120" w:type="dxa"/>
            </w:tcMar>
            <w:vAlign w:val="center"/>
          </w:tcPr>
          <w:p>
            <w:pPr>
              <w:keepNext/>
            </w:pPr>
            <w:r>
              <w:rPr>
                <w:rFonts w:ascii="Aptos" w:hAnsi="Aptos"/>
                <w:b/>
                <w:color w:val="FFFFFF"/>
                <w:sz w:val="19"/>
              </w:rPr>
              <w:t>Stage</w:t>
            </w:r>
          </w:p>
        </w:tc>
        <w:tc>
          <w:tcPr>
            <w:tcW w:type="dxa" w:w="3240"/>
            <w:shd w:fill="17365D"/>
            <w:tcMar>
              <w:top w:w="100" w:type="dxa"/>
              <w:left w:w="120" w:type="dxa"/>
              <w:bottom w:w="100" w:type="dxa"/>
              <w:right w:w="120" w:type="dxa"/>
            </w:tcMar>
            <w:vAlign w:val="center"/>
          </w:tcPr>
          <w:p>
            <w:pPr>
              <w:keepNext/>
            </w:pPr>
            <w:r>
              <w:rPr>
                <w:rFonts w:ascii="Aptos" w:hAnsi="Aptos"/>
                <w:b/>
                <w:color w:val="FFFFFF"/>
                <w:sz w:val="19"/>
              </w:rPr>
              <w:t>When used</w:t>
            </w:r>
          </w:p>
        </w:tc>
        <w:tc>
          <w:tcPr>
            <w:tcW w:type="dxa" w:w="4824"/>
            <w:shd w:fill="17365D"/>
            <w:tcMar>
              <w:top w:w="100" w:type="dxa"/>
              <w:left w:w="120" w:type="dxa"/>
              <w:bottom w:w="100" w:type="dxa"/>
              <w:right w:w="120" w:type="dxa"/>
            </w:tcMar>
            <w:vAlign w:val="center"/>
          </w:tcPr>
          <w:p>
            <w:pPr>
              <w:keepNext/>
            </w:pPr>
            <w:r>
              <w:rPr>
                <w:rFonts w:ascii="Aptos" w:hAnsi="Aptos"/>
                <w:b/>
                <w:color w:val="FFFFFF"/>
                <w:sz w:val="19"/>
              </w:rPr>
              <w:t>Typical content</w:t>
            </w:r>
          </w:p>
        </w:tc>
      </w:tr>
      <w:tr>
        <w:trPr>
          <w:cantSplit/>
        </w:trPr>
        <w:tc>
          <w:tcPr>
            <w:tcW w:type="dxa" w:w="1944"/>
            <w:shd w:fill="F4F8FC"/>
            <w:tcMar>
              <w:top w:w="90" w:type="dxa"/>
              <w:left w:w="120" w:type="dxa"/>
              <w:bottom w:w="90" w:type="dxa"/>
              <w:right w:w="120" w:type="dxa"/>
            </w:tcMar>
            <w:vAlign w:val="top"/>
          </w:tcPr>
          <w:p>
            <w:pPr>
              <w:spacing w:after="0"/>
            </w:pPr>
            <w:r>
              <w:rPr>
                <w:rFonts w:ascii="Aptos" w:hAnsi="Aptos"/>
                <w:sz w:val="18"/>
              </w:rPr>
              <w:t>Early warning</w:t>
            </w:r>
          </w:p>
        </w:tc>
        <w:tc>
          <w:tcPr>
            <w:tcW w:type="dxa" w:w="3240"/>
            <w:shd w:fill="F4F8FC"/>
            <w:tcMar>
              <w:top w:w="90" w:type="dxa"/>
              <w:left w:w="120" w:type="dxa"/>
              <w:bottom w:w="90" w:type="dxa"/>
              <w:right w:w="120" w:type="dxa"/>
            </w:tcMar>
            <w:vAlign w:val="top"/>
          </w:tcPr>
          <w:p>
            <w:pPr>
              <w:spacing w:after="0"/>
            </w:pPr>
            <w:r>
              <w:rPr>
                <w:rFonts w:ascii="Aptos" w:hAnsi="Aptos"/>
                <w:sz w:val="18"/>
              </w:rPr>
              <w:t>Within 24 hours after awareness</w:t>
            </w:r>
          </w:p>
        </w:tc>
        <w:tc>
          <w:tcPr>
            <w:tcW w:type="dxa" w:w="4824"/>
            <w:shd w:fill="F4F8FC"/>
            <w:tcMar>
              <w:top w:w="90" w:type="dxa"/>
              <w:left w:w="120" w:type="dxa"/>
              <w:bottom w:w="90" w:type="dxa"/>
              <w:right w:w="120" w:type="dxa"/>
            </w:tcMar>
            <w:vAlign w:val="top"/>
          </w:tcPr>
          <w:p>
            <w:pPr>
              <w:spacing w:after="0"/>
            </w:pPr>
            <w:r>
              <w:rPr>
                <w:rFonts w:ascii="Aptos" w:hAnsi="Aptos"/>
                <w:sz w:val="18"/>
              </w:rPr>
              <w:t>Basic product and event information, suspected impact, cross border information where known, and confidence</w:t>
            </w:r>
          </w:p>
        </w:tc>
      </w:tr>
      <w:tr>
        <w:trPr>
          <w:cantSplit/>
        </w:trPr>
        <w:tc>
          <w:tcPr>
            <w:tcW w:type="dxa" w:w="1944"/>
            <w:shd w:fill="FFFFFF"/>
            <w:tcMar>
              <w:top w:w="90" w:type="dxa"/>
              <w:left w:w="120" w:type="dxa"/>
              <w:bottom w:w="90" w:type="dxa"/>
              <w:right w:w="120" w:type="dxa"/>
            </w:tcMar>
            <w:vAlign w:val="top"/>
          </w:tcPr>
          <w:p>
            <w:pPr>
              <w:spacing w:after="0"/>
            </w:pPr>
            <w:r>
              <w:rPr>
                <w:rFonts w:ascii="Aptos" w:hAnsi="Aptos"/>
                <w:sz w:val="18"/>
              </w:rPr>
              <w:t>Notification</w:t>
            </w:r>
          </w:p>
        </w:tc>
        <w:tc>
          <w:tcPr>
            <w:tcW w:type="dxa" w:w="3240"/>
            <w:shd w:fill="FFFFFF"/>
            <w:tcMar>
              <w:top w:w="90" w:type="dxa"/>
              <w:left w:w="120" w:type="dxa"/>
              <w:bottom w:w="90" w:type="dxa"/>
              <w:right w:w="120" w:type="dxa"/>
            </w:tcMar>
            <w:vAlign w:val="top"/>
          </w:tcPr>
          <w:p>
            <w:pPr>
              <w:spacing w:after="0"/>
            </w:pPr>
            <w:r>
              <w:rPr>
                <w:rFonts w:ascii="Aptos" w:hAnsi="Aptos"/>
                <w:sz w:val="18"/>
              </w:rPr>
              <w:t>Within 72 hours after awareness</w:t>
            </w:r>
          </w:p>
        </w:tc>
        <w:tc>
          <w:tcPr>
            <w:tcW w:type="dxa" w:w="4824"/>
            <w:shd w:fill="FFFFFF"/>
            <w:tcMar>
              <w:top w:w="90" w:type="dxa"/>
              <w:left w:w="120" w:type="dxa"/>
              <w:bottom w:w="90" w:type="dxa"/>
              <w:right w:w="120" w:type="dxa"/>
            </w:tcMar>
            <w:vAlign w:val="top"/>
          </w:tcPr>
          <w:p>
            <w:pPr>
              <w:spacing w:after="0"/>
            </w:pPr>
            <w:r>
              <w:rPr>
                <w:rFonts w:ascii="Aptos" w:hAnsi="Aptos"/>
                <w:sz w:val="18"/>
              </w:rPr>
              <w:t>Available assessment, severity, exploitation or incident details, affected releases, and measures underway</w:t>
            </w:r>
          </w:p>
        </w:tc>
      </w:tr>
      <w:tr>
        <w:trPr>
          <w:cantSplit/>
        </w:trPr>
        <w:tc>
          <w:tcPr>
            <w:tcW w:type="dxa" w:w="1944"/>
            <w:shd w:fill="F4F8FC"/>
            <w:tcMar>
              <w:top w:w="90" w:type="dxa"/>
              <w:left w:w="120" w:type="dxa"/>
              <w:bottom w:w="90" w:type="dxa"/>
              <w:right w:w="120" w:type="dxa"/>
            </w:tcMar>
            <w:vAlign w:val="top"/>
          </w:tcPr>
          <w:p>
            <w:pPr>
              <w:spacing w:after="0"/>
            </w:pPr>
            <w:r>
              <w:rPr>
                <w:rFonts w:ascii="Aptos" w:hAnsi="Aptos"/>
                <w:sz w:val="18"/>
              </w:rPr>
              <w:t>Final report</w:t>
            </w:r>
          </w:p>
        </w:tc>
        <w:tc>
          <w:tcPr>
            <w:tcW w:type="dxa" w:w="3240"/>
            <w:shd w:fill="F4F8FC"/>
            <w:tcMar>
              <w:top w:w="90" w:type="dxa"/>
              <w:left w:w="120" w:type="dxa"/>
              <w:bottom w:w="90" w:type="dxa"/>
              <w:right w:w="120" w:type="dxa"/>
            </w:tcMar>
            <w:vAlign w:val="top"/>
          </w:tcPr>
          <w:p>
            <w:pPr>
              <w:spacing w:after="0"/>
            </w:pPr>
            <w:r>
              <w:rPr>
                <w:rFonts w:ascii="Aptos" w:hAnsi="Aptos"/>
                <w:sz w:val="18"/>
              </w:rPr>
              <w:t>At the applicable final deadline</w:t>
            </w:r>
          </w:p>
        </w:tc>
        <w:tc>
          <w:tcPr>
            <w:tcW w:type="dxa" w:w="4824"/>
            <w:shd w:fill="F4F8FC"/>
            <w:tcMar>
              <w:top w:w="90" w:type="dxa"/>
              <w:left w:w="120" w:type="dxa"/>
              <w:bottom w:w="90" w:type="dxa"/>
              <w:right w:w="120" w:type="dxa"/>
            </w:tcMar>
            <w:vAlign w:val="top"/>
          </w:tcPr>
          <w:p>
            <w:pPr>
              <w:spacing w:after="0"/>
            </w:pPr>
            <w:r>
              <w:rPr>
                <w:rFonts w:ascii="Aptos" w:hAnsi="Aptos"/>
                <w:sz w:val="18"/>
              </w:rPr>
              <w:t>Root cause or vulnerability analysis, mitigation or correction, affected scope, and outcome</w:t>
            </w:r>
          </w:p>
        </w:tc>
      </w:tr>
      <w:tr>
        <w:trPr>
          <w:cantSplit/>
        </w:trPr>
        <w:tc>
          <w:tcPr>
            <w:tcW w:type="dxa" w:w="1944"/>
            <w:shd w:fill="FFFFFF"/>
            <w:tcMar>
              <w:top w:w="90" w:type="dxa"/>
              <w:left w:w="120" w:type="dxa"/>
              <w:bottom w:w="90" w:type="dxa"/>
              <w:right w:w="120" w:type="dxa"/>
            </w:tcMar>
            <w:vAlign w:val="top"/>
          </w:tcPr>
          <w:p>
            <w:pPr>
              <w:spacing w:after="0"/>
            </w:pPr>
            <w:r>
              <w:rPr>
                <w:rFonts w:ascii="Aptos" w:hAnsi="Aptos"/>
                <w:sz w:val="18"/>
              </w:rPr>
              <w:t>Amendment</w:t>
            </w:r>
          </w:p>
        </w:tc>
        <w:tc>
          <w:tcPr>
            <w:tcW w:type="dxa" w:w="3240"/>
            <w:shd w:fill="FFFFFF"/>
            <w:tcMar>
              <w:top w:w="90" w:type="dxa"/>
              <w:left w:w="120" w:type="dxa"/>
              <w:bottom w:w="90" w:type="dxa"/>
              <w:right w:w="120" w:type="dxa"/>
            </w:tcMar>
            <w:vAlign w:val="top"/>
          </w:tcPr>
          <w:p>
            <w:pPr>
              <w:spacing w:after="0"/>
            </w:pPr>
            <w:r>
              <w:rPr>
                <w:rFonts w:ascii="Aptos" w:hAnsi="Aptos"/>
                <w:sz w:val="18"/>
              </w:rPr>
              <w:t>When a submitted report must be corrected or supplemented</w:t>
            </w:r>
          </w:p>
        </w:tc>
        <w:tc>
          <w:tcPr>
            <w:tcW w:type="dxa" w:w="4824"/>
            <w:shd w:fill="FFFFFF"/>
            <w:tcMar>
              <w:top w:w="90" w:type="dxa"/>
              <w:left w:w="120" w:type="dxa"/>
              <w:bottom w:w="90" w:type="dxa"/>
              <w:right w:w="120" w:type="dxa"/>
            </w:tcMar>
            <w:vAlign w:val="top"/>
          </w:tcPr>
          <w:p>
            <w:pPr>
              <w:spacing w:after="0"/>
            </w:pPr>
            <w:r>
              <w:rPr>
                <w:rFonts w:ascii="Aptos" w:hAnsi="Aptos"/>
                <w:sz w:val="18"/>
              </w:rPr>
              <w:t>What changed, why, who approved it, and which earlier submission it amends</w:t>
            </w:r>
          </w:p>
        </w:tc>
      </w:tr>
    </w:tbl>
    <w:p>
      <w:pPr>
        <w:widowControl/>
        <w:spacing w:after="20"/>
      </w:pPr>
    </w:p>
    <w:p>
      <w:pPr>
        <w:pStyle w:val="Heading2"/>
        <w:widowControl/>
      </w:pPr>
      <w:r>
        <w:t>Report actions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 revision</w:t>
            </w:r>
          </w:p>
        </w:tc>
        <w:tc>
          <w:tcPr>
            <w:tcW w:type="dxa" w:w="3600"/>
            <w:shd w:fill="F4F8FC"/>
            <w:tcMar>
              <w:top w:w="60" w:type="dxa"/>
              <w:left w:w="120" w:type="dxa"/>
              <w:bottom w:w="60" w:type="dxa"/>
              <w:right w:w="120" w:type="dxa"/>
            </w:tcMar>
            <w:vAlign w:val="top"/>
          </w:tcPr>
          <w:p>
            <w:pPr>
              <w:spacing w:after="0"/>
            </w:pPr>
            <w:r>
              <w:rPr>
                <w:rFonts w:ascii="Aptos" w:hAnsi="Aptos"/>
                <w:sz w:val="16"/>
              </w:rPr>
              <w:t>POST /v1/cases/{case_id}/report-revisions</w:t>
            </w:r>
          </w:p>
        </w:tc>
        <w:tc>
          <w:tcPr>
            <w:tcW w:type="dxa" w:w="5112"/>
            <w:shd w:fill="F4F8FC"/>
            <w:tcMar>
              <w:top w:w="60" w:type="dxa"/>
              <w:left w:w="120" w:type="dxa"/>
              <w:bottom w:w="60" w:type="dxa"/>
              <w:right w:w="120" w:type="dxa"/>
            </w:tcMar>
            <w:vAlign w:val="top"/>
          </w:tcPr>
          <w:p>
            <w:pPr>
              <w:spacing w:after="0"/>
            </w:pPr>
            <w:r>
              <w:rPr>
                <w:rFonts w:ascii="Aptos" w:hAnsi="Aptos"/>
                <w:sz w:val="16"/>
              </w:rPr>
              <w:t>Create a draft for one report stage.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 revisions</w:t>
            </w:r>
          </w:p>
        </w:tc>
        <w:tc>
          <w:tcPr>
            <w:tcW w:type="dxa" w:w="3600"/>
            <w:shd w:fill="FFFFFF"/>
            <w:tcMar>
              <w:top w:w="60" w:type="dxa"/>
              <w:left w:w="120" w:type="dxa"/>
              <w:bottom w:w="60" w:type="dxa"/>
              <w:right w:w="120" w:type="dxa"/>
            </w:tcMar>
            <w:vAlign w:val="top"/>
          </w:tcPr>
          <w:p>
            <w:pPr>
              <w:spacing w:after="0"/>
            </w:pPr>
            <w:r>
              <w:rPr>
                <w:rFonts w:ascii="Aptos" w:hAnsi="Aptos"/>
                <w:sz w:val="16"/>
              </w:rPr>
              <w:t>GET /v1/cases/{case_id}/report-revisions</w:t>
            </w:r>
          </w:p>
        </w:tc>
        <w:tc>
          <w:tcPr>
            <w:tcW w:type="dxa" w:w="5112"/>
            <w:shd w:fill="FFFFFF"/>
            <w:tcMar>
              <w:top w:w="60" w:type="dxa"/>
              <w:left w:w="120" w:type="dxa"/>
              <w:bottom w:w="60" w:type="dxa"/>
              <w:right w:w="120" w:type="dxa"/>
            </w:tcMar>
            <w:vAlign w:val="top"/>
          </w:tcPr>
          <w:p>
            <w:pPr>
              <w:spacing w:after="0"/>
            </w:pPr>
            <w:r>
              <w:rPr>
                <w:rFonts w:ascii="Aptos" w:hAnsi="Aptos"/>
                <w:sz w:val="16"/>
              </w:rPr>
              <w:t>View the full revision history.</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 revision</w:t>
            </w:r>
          </w:p>
        </w:tc>
        <w:tc>
          <w:tcPr>
            <w:tcW w:type="dxa" w:w="3600"/>
            <w:shd w:fill="F4F8FC"/>
            <w:tcMar>
              <w:top w:w="60" w:type="dxa"/>
              <w:left w:w="120" w:type="dxa"/>
              <w:bottom w:w="60" w:type="dxa"/>
              <w:right w:w="120" w:type="dxa"/>
            </w:tcMar>
            <w:vAlign w:val="top"/>
          </w:tcPr>
          <w:p>
            <w:pPr>
              <w:spacing w:after="0"/>
            </w:pPr>
            <w:r>
              <w:rPr>
                <w:rFonts w:ascii="Aptos" w:hAnsi="Aptos"/>
                <w:sz w:val="16"/>
              </w:rPr>
              <w:t>GET /v1/report-revisions/{revision_id}</w:t>
            </w:r>
          </w:p>
        </w:tc>
        <w:tc>
          <w:tcPr>
            <w:tcW w:type="dxa" w:w="5112"/>
            <w:shd w:fill="F4F8FC"/>
            <w:tcMar>
              <w:top w:w="60" w:type="dxa"/>
              <w:left w:w="120" w:type="dxa"/>
              <w:bottom w:w="60" w:type="dxa"/>
              <w:right w:w="120" w:type="dxa"/>
            </w:tcMar>
            <w:vAlign w:val="top"/>
          </w:tcPr>
          <w:p>
            <w:pPr>
              <w:spacing w:after="0"/>
            </w:pPr>
            <w:r>
              <w:rPr>
                <w:rFonts w:ascii="Aptos" w:hAnsi="Aptos"/>
                <w:sz w:val="16"/>
              </w:rPr>
              <w:t>View content, sources, checksum, and approval state.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Validate</w:t>
            </w:r>
          </w:p>
        </w:tc>
        <w:tc>
          <w:tcPr>
            <w:tcW w:type="dxa" w:w="3600"/>
            <w:shd w:fill="FFFFFF"/>
            <w:tcMar>
              <w:top w:w="60" w:type="dxa"/>
              <w:left w:w="120" w:type="dxa"/>
              <w:bottom w:w="60" w:type="dxa"/>
              <w:right w:w="120" w:type="dxa"/>
            </w:tcMar>
            <w:vAlign w:val="top"/>
          </w:tcPr>
          <w:p>
            <w:pPr>
              <w:spacing w:after="0"/>
            </w:pPr>
            <w:r>
              <w:rPr>
                <w:rFonts w:ascii="Aptos" w:hAnsi="Aptos"/>
                <w:sz w:val="16"/>
              </w:rPr>
              <w:t>POST /v1/report-revisions/{revision_id}:validate</w:t>
            </w:r>
          </w:p>
        </w:tc>
        <w:tc>
          <w:tcPr>
            <w:tcW w:type="dxa" w:w="5112"/>
            <w:shd w:fill="FFFFFF"/>
            <w:tcMar>
              <w:top w:w="60" w:type="dxa"/>
              <w:left w:w="120" w:type="dxa"/>
              <w:bottom w:w="60" w:type="dxa"/>
              <w:right w:w="120" w:type="dxa"/>
            </w:tcMar>
            <w:vAlign w:val="top"/>
          </w:tcPr>
          <w:p>
            <w:pPr>
              <w:spacing w:after="0"/>
            </w:pPr>
            <w:r>
              <w:rPr>
                <w:rFonts w:ascii="Aptos" w:hAnsi="Aptos"/>
                <w:sz w:val="16"/>
              </w:rPr>
              <w:t>Check required fields and deadline readiness.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Approve</w:t>
            </w:r>
          </w:p>
        </w:tc>
        <w:tc>
          <w:tcPr>
            <w:tcW w:type="dxa" w:w="3600"/>
            <w:shd w:fill="F4F8FC"/>
            <w:tcMar>
              <w:top w:w="60" w:type="dxa"/>
              <w:left w:w="120" w:type="dxa"/>
              <w:bottom w:w="60" w:type="dxa"/>
              <w:right w:w="120" w:type="dxa"/>
            </w:tcMar>
            <w:vAlign w:val="top"/>
          </w:tcPr>
          <w:p>
            <w:pPr>
              <w:spacing w:after="0"/>
            </w:pPr>
            <w:r>
              <w:rPr>
                <w:rFonts w:ascii="Aptos" w:hAnsi="Aptos"/>
                <w:sz w:val="16"/>
              </w:rPr>
              <w:t>POST /v1/report-revisions/{revision_id}/approvals</w:t>
            </w:r>
          </w:p>
        </w:tc>
        <w:tc>
          <w:tcPr>
            <w:tcW w:type="dxa" w:w="5112"/>
            <w:shd w:fill="F4F8FC"/>
            <w:tcMar>
              <w:top w:w="60" w:type="dxa"/>
              <w:left w:w="120" w:type="dxa"/>
              <w:bottom w:w="60" w:type="dxa"/>
              <w:right w:w="120" w:type="dxa"/>
            </w:tcMar>
            <w:vAlign w:val="top"/>
          </w:tcPr>
          <w:p>
            <w:pPr>
              <w:spacing w:after="0"/>
            </w:pPr>
            <w:r>
              <w:t>An authorized user from the customer company approves the exact revision through the dashboard or CLI.</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Export</w:t>
            </w:r>
          </w:p>
        </w:tc>
        <w:tc>
          <w:tcPr>
            <w:tcW w:type="dxa" w:w="3600"/>
            <w:shd w:fill="FFFFFF"/>
            <w:tcMar>
              <w:top w:w="60" w:type="dxa"/>
              <w:left w:w="120" w:type="dxa"/>
              <w:bottom w:w="60" w:type="dxa"/>
              <w:right w:w="120" w:type="dxa"/>
            </w:tcMar>
            <w:vAlign w:val="top"/>
          </w:tcPr>
          <w:p>
            <w:pPr>
              <w:spacing w:after="0"/>
            </w:pPr>
            <w:r>
              <w:rPr>
                <w:rFonts w:ascii="Aptos" w:hAnsi="Aptos"/>
                <w:sz w:val="16"/>
              </w:rPr>
              <w:t>POST /v1/report-revisions/{revision_id}/exports</w:t>
            </w:r>
          </w:p>
        </w:tc>
        <w:tc>
          <w:tcPr>
            <w:tcW w:type="dxa" w:w="5112"/>
            <w:shd w:fill="FFFFFF"/>
            <w:tcMar>
              <w:top w:w="60" w:type="dxa"/>
              <w:left w:w="120" w:type="dxa"/>
              <w:bottom w:w="60" w:type="dxa"/>
              <w:right w:w="120" w:type="dxa"/>
            </w:tcMar>
            <w:vAlign w:val="top"/>
          </w:tcPr>
          <w:p>
            <w:pPr>
              <w:spacing w:after="0"/>
            </w:pPr>
            <w:r>
              <w:rPr>
                <w:rFonts w:ascii="Aptos" w:hAnsi="Aptos"/>
                <w:sz w:val="16"/>
              </w:rPr>
              <w:t>Create a portal ready file or human readable document.</w:t>
            </w:r>
          </w:p>
        </w:tc>
      </w:tr>
    </w:tbl>
    <w:p>
      <w:pPr>
        <w:widowControl/>
        <w:spacing w:after="20"/>
      </w:pPr>
    </w:p>
    <w:p>
      <w:pPr>
        <w:pStyle w:val="Heading2"/>
        <w:widowControl/>
      </w:pPr>
      <w:r>
        <w:t>Managed filing and submission evidence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blHeader w:val="true"/>
        </w:trPr>
        <w:tc>
          <w:tcPr>
            <w:tcW w:type="dxa" w:w="1655"/>
            <w:shd w:fill="1F4E78"/>
            <w:tcMar>
              <w:top w:w="100" w:type="dxa"/>
              <w:left w:w="120" w:type="dxa"/>
              <w:bottom w:w="100" w:type="dxa"/>
              <w:right w:w="120" w:type="dxa"/>
              <w:start w:w="120" w:type="dxa"/>
              <w:end w:w="120" w:type="dxa"/>
            </w:tcMar>
            <w:vAlign w:val="center"/>
          </w:tcPr>
          <w:p>
            <w:pPr>
              <w:keepNext/>
              <w:spacing w:after="0" w:line="252" w:lineRule="auto"/>
            </w:pPr>
            <w:r>
              <w:rPr>
                <w:rFonts w:ascii="Aptos" w:hAnsi="Aptos"/>
                <w:b/>
                <w:color w:val="FFFFFF"/>
                <w:sz w:val="17"/>
              </w:rPr>
              <w:t>Action</w:t>
            </w:r>
          </w:p>
        </w:tc>
        <w:tc>
          <w:tcPr>
            <w:tcW w:type="dxa" w:w="3384"/>
            <w:shd w:fill="1F4E78"/>
            <w:tcMar>
              <w:top w:w="100" w:type="dxa"/>
              <w:left w:w="120" w:type="dxa"/>
              <w:bottom w:w="100" w:type="dxa"/>
              <w:right w:w="120" w:type="dxa"/>
              <w:start w:w="120" w:type="dxa"/>
              <w:end w:w="120" w:type="dxa"/>
            </w:tcMar>
            <w:vAlign w:val="center"/>
          </w:tcPr>
          <w:p>
            <w:pPr>
              <w:keepNext/>
              <w:spacing w:after="0" w:line="252" w:lineRule="auto"/>
            </w:pPr>
            <w:r>
              <w:rPr>
                <w:rFonts w:ascii="Aptos" w:hAnsi="Aptos"/>
                <w:b/>
                <w:color w:val="FFFFFF"/>
                <w:sz w:val="17"/>
              </w:rPr>
              <w:t>API path</w:t>
            </w:r>
          </w:p>
        </w:tc>
        <w:tc>
          <w:tcPr>
            <w:tcW w:type="dxa" w:w="4536"/>
            <w:shd w:fill="1F4E78"/>
            <w:tcMar>
              <w:top w:w="100" w:type="dxa"/>
              <w:left w:w="120" w:type="dxa"/>
              <w:bottom w:w="100" w:type="dxa"/>
              <w:right w:w="120" w:type="dxa"/>
              <w:start w:w="120" w:type="dxa"/>
              <w:end w:w="120" w:type="dxa"/>
            </w:tcMar>
            <w:vAlign w:val="center"/>
          </w:tcPr>
          <w:p>
            <w:pPr>
              <w:keepNext/>
              <w:spacing w:after="0" w:line="252" w:lineRule="auto"/>
            </w:pPr>
            <w:r>
              <w:rPr>
                <w:rFonts w:ascii="Aptos" w:hAnsi="Aptos"/>
                <w:b/>
                <w:color w:val="FFFFFF"/>
                <w:sz w:val="17"/>
              </w:rPr>
              <w:t>What it means</w:t>
            </w:r>
          </w:p>
        </w:tc>
      </w:tr>
      <w:tr>
        <w:trPr>
          <w:cantSplit/>
        </w:trPr>
        <w:tc>
          <w:tcPr>
            <w:tcW w:type="dxa" w:w="1655"/>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Request or record filing</w:t>
            </w:r>
          </w:p>
        </w:tc>
        <w:tc>
          <w:tcPr>
            <w:tcW w:type="dxa" w:w="3384"/>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POST /v1/cases/{case_id}/submission-attempts</w:t>
            </w:r>
          </w:p>
        </w:tc>
        <w:tc>
          <w:tcPr>
            <w:tcW w:type="dxa" w:w="4536"/>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After customer approval, request managed filing by PandaX or record that the customer filed through the official portal.</w:t>
            </w:r>
          </w:p>
        </w:tc>
      </w:tr>
      <w:tr>
        <w:trPr>
          <w:cantSplit/>
        </w:trPr>
        <w:tc>
          <w:tcPr>
            <w:tcW w:type="dxa" w:w="1655"/>
            <w:shd w:fill="EAF2F8"/>
            <w:tcMar>
              <w:top w:w="100" w:type="dxa"/>
              <w:left w:w="120" w:type="dxa"/>
              <w:bottom w:w="100" w:type="dxa"/>
              <w:right w:w="120" w:type="dxa"/>
              <w:start w:w="120" w:type="dxa"/>
              <w:end w:w="120" w:type="dxa"/>
            </w:tcMar>
            <w:vAlign w:val="center"/>
          </w:tcPr>
          <w:p>
            <w:pPr>
              <w:spacing w:after="0" w:line="252" w:lineRule="auto"/>
            </w:pPr>
            <w:r>
              <w:rPr>
                <w:rFonts w:ascii="Aptos" w:hAnsi="Aptos"/>
                <w:sz w:val="17"/>
              </w:rPr>
              <w:t>View attempt</w:t>
            </w:r>
          </w:p>
        </w:tc>
        <w:tc>
          <w:tcPr>
            <w:tcW w:type="dxa" w:w="3384"/>
            <w:shd w:fill="EAF2F8"/>
            <w:tcMar>
              <w:top w:w="100" w:type="dxa"/>
              <w:left w:w="120" w:type="dxa"/>
              <w:bottom w:w="100" w:type="dxa"/>
              <w:right w:w="120" w:type="dxa"/>
              <w:start w:w="120" w:type="dxa"/>
              <w:end w:w="120" w:type="dxa"/>
            </w:tcMar>
            <w:vAlign w:val="center"/>
          </w:tcPr>
          <w:p>
            <w:pPr>
              <w:spacing w:after="0" w:line="252" w:lineRule="auto"/>
            </w:pPr>
            <w:r>
              <w:rPr>
                <w:rFonts w:ascii="Aptos" w:hAnsi="Aptos"/>
                <w:sz w:val="17"/>
              </w:rPr>
              <w:t>GET /v1/submission-attempts/{attempt_id}</w:t>
            </w:r>
          </w:p>
        </w:tc>
        <w:tc>
          <w:tcPr>
            <w:tcW w:type="dxa" w:w="4536"/>
            <w:shd w:fill="EAF2F8"/>
            <w:tcMar>
              <w:top w:w="100" w:type="dxa"/>
              <w:left w:w="120" w:type="dxa"/>
              <w:bottom w:w="100" w:type="dxa"/>
              <w:right w:w="120" w:type="dxa"/>
              <w:start w:w="120" w:type="dxa"/>
              <w:end w:w="120" w:type="dxa"/>
            </w:tcMar>
            <w:vAlign w:val="center"/>
          </w:tcPr>
          <w:p>
            <w:pPr>
              <w:spacing w:after="0" w:line="252" w:lineRule="auto"/>
            </w:pPr>
            <w:r>
              <w:rPr>
                <w:rFonts w:ascii="Aptos" w:hAnsi="Aptos"/>
                <w:sz w:val="17"/>
              </w:rPr>
              <w:t>View the filing method, named representative, destination, time, result, receipt, and exact report revision.</w:t>
            </w:r>
          </w:p>
        </w:tc>
      </w:tr>
      <w:tr>
        <w:trPr>
          <w:cantSplit/>
        </w:trPr>
        <w:tc>
          <w:tcPr>
            <w:tcW w:type="dxa" w:w="1655"/>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Add receipt</w:t>
            </w:r>
          </w:p>
        </w:tc>
        <w:tc>
          <w:tcPr>
            <w:tcW w:type="dxa" w:w="3384"/>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POST /v1/submission-attempts/{attempt_id}/receipts</w:t>
            </w:r>
          </w:p>
        </w:tc>
        <w:tc>
          <w:tcPr>
            <w:tcW w:type="dxa" w:w="4536"/>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Attach an acknowledgement or official receipt.</w:t>
            </w:r>
          </w:p>
        </w:tc>
      </w:tr>
      <w:tr>
        <w:trPr>
          <w:cantSplit/>
        </w:trPr>
        <w:tc>
          <w:tcPr>
            <w:tcW w:type="dxa" w:w="1655"/>
            <w:shd w:fill="EAF2F8"/>
            <w:tcMar>
              <w:top w:w="100" w:type="dxa"/>
              <w:left w:w="120" w:type="dxa"/>
              <w:bottom w:w="100" w:type="dxa"/>
              <w:right w:w="120" w:type="dxa"/>
              <w:start w:w="120" w:type="dxa"/>
              <w:end w:w="120" w:type="dxa"/>
            </w:tcMar>
            <w:vAlign w:val="center"/>
          </w:tcPr>
          <w:p>
            <w:pPr>
              <w:spacing w:after="0" w:line="252" w:lineRule="auto"/>
            </w:pPr>
            <w:r>
              <w:rPr>
                <w:rFonts w:ascii="Aptos" w:hAnsi="Aptos"/>
                <w:sz w:val="17"/>
              </w:rPr>
              <w:t>Record failure</w:t>
            </w:r>
          </w:p>
        </w:tc>
        <w:tc>
          <w:tcPr>
            <w:tcW w:type="dxa" w:w="3384"/>
            <w:shd w:fill="EAF2F8"/>
            <w:tcMar>
              <w:top w:w="100" w:type="dxa"/>
              <w:left w:w="120" w:type="dxa"/>
              <w:bottom w:w="100" w:type="dxa"/>
              <w:right w:w="120" w:type="dxa"/>
              <w:start w:w="120" w:type="dxa"/>
              <w:end w:w="120" w:type="dxa"/>
            </w:tcMar>
            <w:vAlign w:val="center"/>
          </w:tcPr>
          <w:p>
            <w:pPr>
              <w:spacing w:after="0" w:line="252" w:lineRule="auto"/>
            </w:pPr>
            <w:r>
              <w:rPr>
                <w:rFonts w:ascii="Aptos" w:hAnsi="Aptos"/>
                <w:sz w:val="17"/>
              </w:rPr>
              <w:t>POST /v1/submission-attempts/{attempt_id}/failures</w:t>
            </w:r>
          </w:p>
        </w:tc>
        <w:tc>
          <w:tcPr>
            <w:tcW w:type="dxa" w:w="4536"/>
            <w:shd w:fill="EAF2F8"/>
            <w:tcMar>
              <w:top w:w="100" w:type="dxa"/>
              <w:left w:w="120" w:type="dxa"/>
              <w:bottom w:w="100" w:type="dxa"/>
              <w:right w:w="120" w:type="dxa"/>
              <w:start w:w="120" w:type="dxa"/>
              <w:end w:w="120" w:type="dxa"/>
            </w:tcMar>
            <w:vAlign w:val="center"/>
          </w:tcPr>
          <w:p>
            <w:pPr>
              <w:spacing w:after="0" w:line="252" w:lineRule="auto"/>
            </w:pPr>
            <w:r>
              <w:rPr>
                <w:rFonts w:ascii="Aptos" w:hAnsi="Aptos"/>
                <w:sz w:val="17"/>
              </w:rPr>
              <w:t>Record rejection, outage, or validation failure and required follow up.</w:t>
            </w:r>
          </w:p>
        </w:tc>
      </w:tr>
      <w:tr>
        <w:trPr>
          <w:cantSplit/>
        </w:trPr>
        <w:tc>
          <w:tcPr>
            <w:tcW w:type="dxa" w:w="1655"/>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Amend</w:t>
            </w:r>
          </w:p>
        </w:tc>
        <w:tc>
          <w:tcPr>
            <w:tcW w:type="dxa" w:w="3384"/>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POST /v1/submission-attempts/{attempt_id}/amendments</w:t>
            </w:r>
          </w:p>
        </w:tc>
        <w:tc>
          <w:tcPr>
            <w:tcW w:type="dxa" w:w="4536"/>
            <w:shd w:fill="F4F8FC"/>
            <w:tcMar>
              <w:top w:w="100" w:type="dxa"/>
              <w:left w:w="120" w:type="dxa"/>
              <w:bottom w:w="100" w:type="dxa"/>
              <w:right w:w="120" w:type="dxa"/>
              <w:start w:w="120" w:type="dxa"/>
              <w:end w:w="120" w:type="dxa"/>
            </w:tcMar>
            <w:vAlign w:val="center"/>
          </w:tcPr>
          <w:p>
            <w:pPr>
              <w:spacing w:after="0" w:line="252" w:lineRule="auto"/>
            </w:pPr>
            <w:r>
              <w:rPr>
                <w:rFonts w:ascii="Aptos" w:hAnsi="Aptos"/>
                <w:sz w:val="17"/>
              </w:rPr>
              <w:t>Link an approved amendment and its later attempt.</w:t>
            </w:r>
          </w:p>
        </w:tc>
      </w:tr>
      <w:tr>
        <w:tc>
          <w:tcPr>
            <w:tcW w:type="dxa" w:w="1655"/>
            <w:vAlign w:val="center"/>
            <w:tcMar>
              <w:top w:w="100" w:type="dxa"/>
              <w:start w:w="120" w:type="dxa"/>
              <w:bottom w:w="100" w:type="dxa"/>
              <w:end w:w="120" w:type="dxa"/>
            </w:tcMar>
            <w:shd w:fill="EAF2F8"/>
          </w:tcPr>
          <w:p>
            <w:pPr>
              <w:spacing w:after="0" w:line="252" w:lineRule="auto"/>
            </w:pPr>
            <w:r>
              <w:rPr>
                <w:rFonts w:ascii="Aptos" w:hAnsi="Aptos"/>
                <w:sz w:val="17"/>
              </w:rPr>
              <w:t>View SRP profile</w:t>
            </w:r>
          </w:p>
        </w:tc>
        <w:tc>
          <w:tcPr>
            <w:tcW w:type="dxa" w:w="3384"/>
            <w:vAlign w:val="center"/>
            <w:tcMar>
              <w:top w:w="100" w:type="dxa"/>
              <w:start w:w="120" w:type="dxa"/>
              <w:bottom w:w="100" w:type="dxa"/>
              <w:end w:w="120" w:type="dxa"/>
            </w:tcMar>
            <w:shd w:fill="EAF2F8"/>
          </w:tcPr>
          <w:p>
            <w:pPr>
              <w:spacing w:after="0" w:line="252" w:lineRule="auto"/>
            </w:pPr>
            <w:r>
              <w:rPr>
                <w:rFonts w:ascii="Aptos" w:hAnsi="Aptos"/>
                <w:sz w:val="17"/>
              </w:rPr>
              <w:t>GET /v1/organizations/{organization_id}/srp-profile</w:t>
            </w:r>
          </w:p>
        </w:tc>
        <w:tc>
          <w:tcPr>
            <w:tcW w:type="dxa" w:w="4536"/>
            <w:vAlign w:val="center"/>
            <w:tcMar>
              <w:top w:w="100" w:type="dxa"/>
              <w:start w:w="120" w:type="dxa"/>
              <w:bottom w:w="100" w:type="dxa"/>
              <w:end w:w="120" w:type="dxa"/>
            </w:tcMar>
            <w:shd w:fill="EAF2F8"/>
          </w:tcPr>
          <w:p>
            <w:pPr>
              <w:spacing w:after="0" w:line="252" w:lineRule="auto"/>
            </w:pPr>
            <w:r>
              <w:rPr>
                <w:rFonts w:ascii="Aptos" w:hAnsi="Aptos"/>
                <w:sz w:val="17"/>
              </w:rPr>
              <w:t>View the manufacturer details, responsible CSIRT, routing basis, representatives, and validation state used for portal filing.</w:t>
            </w:r>
          </w:p>
        </w:tc>
      </w:tr>
      <w:tr>
        <w:tc>
          <w:tcPr>
            <w:tcW w:type="dxa" w:w="1655"/>
            <w:vAlign w:val="center"/>
            <w:tcMar>
              <w:top w:w="100" w:type="dxa"/>
              <w:start w:w="120" w:type="dxa"/>
              <w:bottom w:w="100" w:type="dxa"/>
              <w:end w:w="120" w:type="dxa"/>
            </w:tcMar>
          </w:tcPr>
          <w:p>
            <w:pPr>
              <w:spacing w:after="0" w:line="252" w:lineRule="auto"/>
            </w:pPr>
            <w:r>
              <w:rPr>
                <w:rFonts w:ascii="Aptos" w:hAnsi="Aptos"/>
                <w:sz w:val="17"/>
              </w:rPr>
              <w:t>Update SRP profile</w:t>
            </w:r>
          </w:p>
        </w:tc>
        <w:tc>
          <w:tcPr>
            <w:tcW w:type="dxa" w:w="3384"/>
            <w:vAlign w:val="center"/>
            <w:tcMar>
              <w:top w:w="100" w:type="dxa"/>
              <w:start w:w="120" w:type="dxa"/>
              <w:bottom w:w="100" w:type="dxa"/>
              <w:end w:w="120" w:type="dxa"/>
            </w:tcMar>
          </w:tcPr>
          <w:p>
            <w:pPr>
              <w:spacing w:after="0" w:line="252" w:lineRule="auto"/>
            </w:pPr>
            <w:r>
              <w:rPr>
                <w:rFonts w:ascii="Aptos" w:hAnsi="Aptos"/>
                <w:sz w:val="17"/>
              </w:rPr>
              <w:t>PUT /v1/organizations/{organization_id}/srp-profile</w:t>
            </w:r>
          </w:p>
        </w:tc>
        <w:tc>
          <w:tcPr>
            <w:tcW w:type="dxa" w:w="4536"/>
            <w:vAlign w:val="center"/>
            <w:tcMar>
              <w:top w:w="100" w:type="dxa"/>
              <w:start w:w="120" w:type="dxa"/>
              <w:bottom w:w="100" w:type="dxa"/>
              <w:end w:w="120" w:type="dxa"/>
            </w:tcMar>
          </w:tcPr>
          <w:p>
            <w:pPr>
              <w:spacing w:after="0" w:line="252" w:lineRule="auto"/>
            </w:pPr>
            <w:r>
              <w:rPr>
                <w:rFonts w:ascii="Aptos" w:hAnsi="Aptos"/>
                <w:sz w:val="17"/>
              </w:rPr>
              <w:t>Record the portal registration details without storing an EU Login password or multi-factor authentication secret.</w:t>
            </w:r>
          </w:p>
        </w:tc>
      </w:tr>
      <w:tr>
        <w:tc>
          <w:tcPr>
            <w:tcW w:type="dxa" w:w="1655"/>
            <w:vAlign w:val="center"/>
            <w:tcMar>
              <w:top w:w="100" w:type="dxa"/>
              <w:start w:w="120" w:type="dxa"/>
              <w:bottom w:w="100" w:type="dxa"/>
              <w:end w:w="120" w:type="dxa"/>
            </w:tcMar>
            <w:shd w:fill="EAF2F8"/>
          </w:tcPr>
          <w:p>
            <w:pPr>
              <w:spacing w:after="0" w:line="252" w:lineRule="auto"/>
            </w:pPr>
            <w:r>
              <w:rPr>
                <w:rFonts w:ascii="Aptos" w:hAnsi="Aptos"/>
                <w:sz w:val="17"/>
              </w:rPr>
              <w:t>Manage representatives</w:t>
            </w:r>
          </w:p>
        </w:tc>
        <w:tc>
          <w:tcPr>
            <w:tcW w:type="dxa" w:w="3384"/>
            <w:vAlign w:val="center"/>
            <w:tcMar>
              <w:top w:w="100" w:type="dxa"/>
              <w:start w:w="120" w:type="dxa"/>
              <w:bottom w:w="100" w:type="dxa"/>
              <w:end w:w="120" w:type="dxa"/>
            </w:tcMar>
            <w:shd w:fill="EAF2F8"/>
          </w:tcPr>
          <w:p>
            <w:pPr>
              <w:spacing w:after="0" w:line="252" w:lineRule="auto"/>
            </w:pPr>
            <w:r>
              <w:rPr>
                <w:rFonts w:ascii="Aptos" w:hAnsi="Aptos"/>
                <w:sz w:val="17"/>
              </w:rPr>
              <w:t>POST /v1/organizations/{organization_id}/assigned-representatives</w:t>
            </w:r>
          </w:p>
        </w:tc>
        <w:tc>
          <w:tcPr>
            <w:tcW w:type="dxa" w:w="4536"/>
            <w:vAlign w:val="center"/>
            <w:tcMar>
              <w:top w:w="100" w:type="dxa"/>
              <w:start w:w="120" w:type="dxa"/>
              <w:bottom w:w="100" w:type="dxa"/>
              <w:end w:w="120" w:type="dxa"/>
            </w:tcMar>
            <w:shd w:fill="EAF2F8"/>
          </w:tcPr>
          <w:p>
            <w:pPr>
              <w:spacing w:after="0" w:line="252" w:lineRule="auto"/>
            </w:pPr>
            <w:r>
              <w:rPr>
                <w:rFonts w:ascii="Aptos" w:hAnsi="Aptos"/>
                <w:sz w:val="17"/>
              </w:rPr>
              <w:t>Record a named Primary or Secondary Assigned Representative, their role, backup coverage, and CSIRT validation state.</w:t>
            </w:r>
          </w:p>
        </w:tc>
      </w:tr>
      <w:tr>
        <w:tc>
          <w:tcPr>
            <w:tcW w:type="dxa" w:w="1655"/>
            <w:vAlign w:val="center"/>
            <w:tcMar>
              <w:top w:w="100" w:type="dxa"/>
              <w:start w:w="120" w:type="dxa"/>
              <w:bottom w:w="100" w:type="dxa"/>
              <w:end w:w="120" w:type="dxa"/>
            </w:tcMar>
          </w:tcPr>
          <w:p>
            <w:pPr>
              <w:spacing w:after="0" w:line="252" w:lineRule="auto"/>
            </w:pPr>
            <w:r>
              <w:rPr>
                <w:rFonts w:ascii="Aptos" w:hAnsi="Aptos"/>
                <w:sz w:val="17"/>
              </w:rPr>
              <w:t>Authorize filing</w:t>
            </w:r>
          </w:p>
        </w:tc>
        <w:tc>
          <w:tcPr>
            <w:tcW w:type="dxa" w:w="3384"/>
            <w:vAlign w:val="center"/>
            <w:tcMar>
              <w:top w:w="100" w:type="dxa"/>
              <w:start w:w="120" w:type="dxa"/>
              <w:bottom w:w="100" w:type="dxa"/>
              <w:end w:w="120" w:type="dxa"/>
            </w:tcMar>
          </w:tcPr>
          <w:p>
            <w:pPr>
              <w:spacing w:after="0" w:line="252" w:lineRule="auto"/>
            </w:pPr>
            <w:r>
              <w:rPr>
                <w:rFonts w:ascii="Aptos" w:hAnsi="Aptos"/>
                <w:sz w:val="17"/>
              </w:rPr>
              <w:t>POST /v1/organizations/{organization_id}/filing-authorizations</w:t>
            </w:r>
          </w:p>
        </w:tc>
        <w:tc>
          <w:tcPr>
            <w:tcW w:type="dxa" w:w="4536"/>
            <w:vAlign w:val="center"/>
            <w:tcMar>
              <w:top w:w="100" w:type="dxa"/>
              <w:start w:w="120" w:type="dxa"/>
              <w:bottom w:w="100" w:type="dxa"/>
              <w:end w:w="120" w:type="dxa"/>
            </w:tcMar>
          </w:tcPr>
          <w:p>
            <w:pPr>
              <w:spacing w:after="0" w:line="252" w:lineRule="auto"/>
            </w:pPr>
            <w:r>
              <w:rPr>
                <w:rFonts w:ascii="Aptos" w:hAnsi="Aptos"/>
                <w:sz w:val="17"/>
              </w:rPr>
              <w:t>Record the company permission that allows a named PandaX representative to file approved reports on its behalf.</w:t>
            </w:r>
          </w:p>
        </w:tc>
      </w:tr>
    </w:tbl>
    <w:p>
      <w:pPr>
        <w:widowControl/>
        <w:spacing w:after="20"/>
      </w:pPr>
    </w:p>
    <w:p>
      <w:pPr>
        <w:pStyle w:val="SmallNote"/>
        <w:widowControl/>
      </w:pPr>
      <w:r>
        <w:t>ENISA has no submission API at launch, so PandaX uses a managed portal-filing service. The customer authorizes named PandaX Assigned Representatives and completes the required CSIRT association. After a company user approves the exact revision, a named representative uses their own EU Login and multi-factor authentication to file it and attach the receipt; PandaX never stores customer portal credentials. This external-representative model must be validated with target CSIRTs and legal counsel before launch. Customer self-filing is the fallback, and a future official API can replace the portal step.</w:t>
      </w:r>
    </w:p>
    <w:p>
      <w:pPr>
        <w:pStyle w:val="Heading2"/>
      </w:pPr>
      <w:r>
        <w:t>ENISA portal filing operating model</w:t>
      </w:r>
    </w:p>
    <w:p>
      <w:pPr/>
      <w:r>
        <w:t>The ENISA Single Reporting Platform is scheduled to open on 11 September 2026. Before that date there is no production portal for the team or customers to find or use. At launch, ENISA will not provide a submission API, so PandaX cannot send a report automatically from the product. PandaX can still automate preparation, checking, approval, reminders, work assignment, and evidence storage. The last step is a controlled human action in the official portal.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788"/>
        <w:gridCol w:w="4788"/>
      </w:tblGrid>
      <w:tr>
        <w:trPr>
          <w:tblHeader w:val="true"/>
        </w:trPr>
        <w:tc>
          <w:tcPr>
            <w:tcW w:type="dxa" w:w="2520"/>
            <w:vAlign w:val="center"/>
            <w:tcMar>
              <w:top w:w="100" w:type="dxa"/>
              <w:start w:w="120" w:type="dxa"/>
              <w:bottom w:w="100" w:type="dxa"/>
              <w:end w:w="120" w:type="dxa"/>
            </w:tcMar>
            <w:shd w:fill="1F4E78"/>
          </w:tcPr>
          <w:p>
            <w:pPr>
              <w:spacing w:after="0" w:line="252" w:lineRule="auto"/>
            </w:pPr>
            <w:r>
              <w:rPr>
                <w:rFonts w:ascii="Aptos" w:hAnsi="Aptos"/>
                <w:b/>
                <w:color w:val="FFFFFF"/>
                <w:sz w:val="19"/>
              </w:rPr>
              <w:t>Role</w:t>
            </w:r>
          </w:p>
        </w:tc>
        <w:tc>
          <w:tcPr>
            <w:tcW w:type="dxa" w:w="7056"/>
            <w:vAlign w:val="center"/>
            <w:tcMar>
              <w:top w:w="100" w:type="dxa"/>
              <w:start w:w="120" w:type="dxa"/>
              <w:bottom w:w="100" w:type="dxa"/>
              <w:end w:w="120" w:type="dxa"/>
            </w:tcMar>
            <w:shd w:fill="1F4E78"/>
          </w:tcPr>
          <w:p>
            <w:pPr>
              <w:spacing w:after="0" w:line="252" w:lineRule="auto"/>
            </w:pPr>
            <w:r>
              <w:rPr>
                <w:rFonts w:ascii="Aptos" w:hAnsi="Aptos"/>
                <w:b/>
                <w:color w:val="FFFFFF"/>
                <w:sz w:val="19"/>
              </w:rPr>
              <w:t>Responsibility in the filing process</w:t>
            </w:r>
          </w:p>
        </w:tc>
      </w:tr>
      <w:tr>
        <w:tc>
          <w:tcPr>
            <w:tcW w:type="dxa" w:w="2520"/>
            <w:vAlign w:val="center"/>
            <w:tcMar>
              <w:top w:w="100" w:type="dxa"/>
              <w:start w:w="120" w:type="dxa"/>
              <w:bottom w:w="100" w:type="dxa"/>
              <w:end w:w="120" w:type="dxa"/>
            </w:tcMar>
          </w:tcPr>
          <w:p>
            <w:pPr>
              <w:spacing w:after="0" w:line="252" w:lineRule="auto"/>
            </w:pPr>
            <w:r>
              <w:rPr>
                <w:rFonts w:ascii="Aptos" w:hAnsi="Aptos"/>
                <w:sz w:val="19"/>
              </w:rPr>
              <w:t>Customer company reviewer</w:t>
            </w:r>
          </w:p>
        </w:tc>
        <w:tc>
          <w:tcPr>
            <w:tcW w:type="dxa" w:w="7056"/>
            <w:vAlign w:val="center"/>
            <w:tcMar>
              <w:top w:w="100" w:type="dxa"/>
              <w:start w:w="120" w:type="dxa"/>
              <w:bottom w:w="100" w:type="dxa"/>
              <w:end w:w="120" w:type="dxa"/>
            </w:tcMar>
          </w:tcPr>
          <w:p>
            <w:pPr>
              <w:spacing w:after="0" w:line="252" w:lineRule="auto"/>
            </w:pPr>
            <w:r>
              <w:rPr>
                <w:rFonts w:ascii="Aptos" w:hAnsi="Aptos"/>
                <w:sz w:val="19"/>
              </w:rPr>
              <w:t>Checks the report and approves the exact revision in the dashboard or CLI. This person acts for the manufacturer and remains responsible for the decision.</w:t>
            </w:r>
          </w:p>
        </w:tc>
      </w:tr>
      <w:tr>
        <w:tc>
          <w:tcPr>
            <w:tcW w:type="dxa" w:w="2520"/>
            <w:vAlign w:val="center"/>
            <w:tcMar>
              <w:top w:w="100" w:type="dxa"/>
              <w:start w:w="120" w:type="dxa"/>
              <w:bottom w:w="100" w:type="dxa"/>
              <w:end w:w="120" w:type="dxa"/>
            </w:tcMar>
            <w:shd w:fill="EAF2F8"/>
          </w:tcPr>
          <w:p>
            <w:pPr>
              <w:spacing w:after="0" w:line="252" w:lineRule="auto"/>
            </w:pPr>
            <w:r>
              <w:rPr>
                <w:rFonts w:ascii="Aptos" w:hAnsi="Aptos"/>
                <w:sz w:val="19"/>
              </w:rPr>
              <w:t>PandaX Assigned Representative</w:t>
            </w:r>
          </w:p>
        </w:tc>
        <w:tc>
          <w:tcPr>
            <w:tcW w:type="dxa" w:w="7056"/>
            <w:vAlign w:val="center"/>
            <w:tcMar>
              <w:top w:w="100" w:type="dxa"/>
              <w:start w:w="120" w:type="dxa"/>
              <w:bottom w:w="100" w:type="dxa"/>
              <w:end w:w="120" w:type="dxa"/>
            </w:tcMar>
            <w:shd w:fill="EAF2F8"/>
          </w:tcPr>
          <w:p>
            <w:pPr>
              <w:spacing w:after="0" w:line="252" w:lineRule="auto"/>
            </w:pPr>
            <w:r>
              <w:rPr>
                <w:rFonts w:ascii="Aptos" w:hAnsi="Aptos"/>
                <w:sz w:val="19"/>
              </w:rPr>
              <w:t>Uses a personal EU Login with multi-factor authentication, enters the approved information in the ENISA portal, submits it, and records the receipt. This is a portal role and is not automatically the same as the legal CRA authorised representative.</w:t>
            </w:r>
          </w:p>
        </w:tc>
      </w:tr>
      <w:tr>
        <w:tc>
          <w:tcPr>
            <w:tcW w:type="dxa" w:w="2520"/>
            <w:vAlign w:val="center"/>
            <w:tcMar>
              <w:top w:w="100" w:type="dxa"/>
              <w:start w:w="120" w:type="dxa"/>
              <w:bottom w:w="100" w:type="dxa"/>
              <w:end w:w="120" w:type="dxa"/>
            </w:tcMar>
          </w:tcPr>
          <w:p>
            <w:pPr>
              <w:spacing w:after="0" w:line="252" w:lineRule="auto"/>
            </w:pPr>
            <w:r>
              <w:rPr>
                <w:rFonts w:ascii="Aptos" w:hAnsi="Aptos"/>
                <w:sz w:val="19"/>
              </w:rPr>
              <w:t>CRA authorised representative</w:t>
            </w:r>
          </w:p>
        </w:tc>
        <w:tc>
          <w:tcPr>
            <w:tcW w:type="dxa" w:w="7056"/>
            <w:vAlign w:val="center"/>
            <w:tcMar>
              <w:top w:w="100" w:type="dxa"/>
              <w:start w:w="120" w:type="dxa"/>
              <w:bottom w:w="100" w:type="dxa"/>
              <w:end w:w="120" w:type="dxa"/>
            </w:tcMar>
          </w:tcPr>
          <w:p>
            <w:pPr>
              <w:spacing w:after="0" w:line="252" w:lineRule="auto"/>
            </w:pPr>
            <w:r>
              <w:rPr>
                <w:rFonts w:ascii="Aptos" w:hAnsi="Aptos"/>
                <w:sz w:val="19"/>
              </w:rPr>
              <w:t>A person or company established in the European Union and appointed by written mandate for specified legal tasks. PandaX must not claim this role unless the legal and establishment requirements are met.</w:t>
            </w:r>
          </w:p>
        </w:tc>
      </w:tr>
      <w:tr>
        <w:tc>
          <w:tcPr>
            <w:tcW w:type="dxa" w:w="2520"/>
            <w:vAlign w:val="center"/>
            <w:tcMar>
              <w:top w:w="100" w:type="dxa"/>
              <w:start w:w="120" w:type="dxa"/>
              <w:bottom w:w="100" w:type="dxa"/>
              <w:end w:w="120" w:type="dxa"/>
            </w:tcMar>
            <w:shd w:fill="EAF2F8"/>
          </w:tcPr>
          <w:p>
            <w:pPr>
              <w:spacing w:after="0" w:line="252" w:lineRule="auto"/>
            </w:pPr>
            <w:r>
              <w:rPr>
                <w:rFonts w:ascii="Aptos" w:hAnsi="Aptos"/>
                <w:sz w:val="19"/>
              </w:rPr>
              <w:t>CSIRT designated as coordinator</w:t>
            </w:r>
          </w:p>
        </w:tc>
        <w:tc>
          <w:tcPr>
            <w:tcW w:type="dxa" w:w="7056"/>
            <w:vAlign w:val="center"/>
            <w:tcMar>
              <w:top w:w="100" w:type="dxa"/>
              <w:start w:w="120" w:type="dxa"/>
              <w:bottom w:w="100" w:type="dxa"/>
              <w:end w:w="120" w:type="dxa"/>
            </w:tcMar>
            <w:shd w:fill="EAF2F8"/>
          </w:tcPr>
          <w:p>
            <w:pPr>
              <w:spacing w:after="0" w:line="252" w:lineRule="auto"/>
            </w:pPr>
            <w:r>
              <w:rPr>
                <w:rFonts w:ascii="Aptos" w:hAnsi="Aptos"/>
                <w:sz w:val="19"/>
              </w:rPr>
              <w:t>The national cybersecurity response team selected for the manufacturer. It validates the representative association and receives the filing through the ENISA platform.</w:t>
            </w:r>
          </w:p>
        </w:tc>
      </w:tr>
    </w:tbl>
    <w:p/>
    <w:p>
      <w:pPr>
        <w:pStyle w:val="Heading3"/>
      </w:pPr>
      <w:r>
        <w:t>Required manufacturer filing profile</w:t>
      </w:r>
    </w:p>
    <w:p>
      <w:pPr>
        <w:keepLines/>
      </w:pPr>
      <w:r>
        <w:t>For each customer, PandaX stores the manufacturer identity used in the portal, the selected CSIRT, why that CSIRT is correct, the Primary and Secondary Assigned Representatives, the association validation status, the customer filing authorization, and the escalation contacts. PandaX may store the EU Login account identifier used for audit purposes, but it must never store the person's password or multi-factor authentication secret.</w:t>
      </w:r>
    </w:p>
    <w:p>
      <w:pPr>
        <w:pStyle w:val="Heading3"/>
      </w:pPr>
      <w:r>
        <w:t>Managed filing sequence</w:t>
      </w:r>
    </w:p>
    <w:p>
      <w:pPr/>
      <w:r>
        <w:t>1.  PandaX records when the manufacturer became aware and calculates the applicable deadline from that time.</w:t>
      </w:r>
    </w:p>
    <w:p>
      <w:pPr/>
      <w:r>
        <w:t>2.  PandaX prepares and validates the correct report stage using the facts and evidence already stored in the case.</w:t>
      </w:r>
    </w:p>
    <w:p>
      <w:pPr/>
      <w:r>
        <w:t>3.  An authorized user at the customer company reviews and approves the exact report revision. Any content change after approval creates a new revision and requires a new approval.</w:t>
      </w:r>
    </w:p>
    <w:p>
      <w:pPr/>
      <w:r>
        <w:t>4.  PandaX creates a filing work item with the deadline, responsible representative, backup representative, selected CSIRT, and approved revision checksum.</w:t>
      </w:r>
    </w:p>
    <w:p>
      <w:pPr/>
      <w:r>
        <w:t>5.  The assigned representative signs in to the ENISA portal using their own EU Login and multi-factor authentication, then enters or uploads the approved information.</w:t>
      </w:r>
    </w:p>
    <w:p>
      <w:pPr/>
      <w:r>
        <w:t>6.  Before submission, the representative compares the portal content with the approved revision, confirms the manufacturer and CSIRT, and records any portal warning.</w:t>
      </w:r>
    </w:p>
    <w:p>
      <w:pPr/>
      <w:r>
        <w:t>7.  The representative submits the report and immediately saves the portal reference, submission time, acknowledgement, and supporting screenshot or file as evidence.</w:t>
      </w:r>
    </w:p>
    <w:p>
      <w:pPr/>
      <w:r>
        <w:t>8.  PandaX marks the report as acknowledged only when official evidence exists. If the outcome is unclear, the status remains unknown and the case is escalated.</w:t>
      </w:r>
    </w:p>
    <w:p>
      <w:pPr/>
      <w:r>
        <w:t>9.  The same controlled process is repeated for the 72 hour notification, final report, and any amendment.</w:t>
      </w:r>
    </w:p>
    <w:p>
      <w:pPr>
        <w:pStyle w:val="Heading3"/>
      </w:pPr>
      <w:r>
        <w:t>Failure and outage handling</w:t>
      </w:r>
    </w:p>
    <w:p>
      <w:pPr/>
      <w:r>
        <w:t>A rejection, validation error, unavailable portal, interrupted session, or missing receipt creates a failed or unknown submission attempt without changing the approved report. PandaX alerts the case owner and backup representative, keeps the legal deadline visible, and records every retry. If the ENISA platform is unavailable and immediate communication is necessary, the representative may contact the selected CSIRT directly, but the report must still be submitted through the platform when it becomes available.</w:t>
      </w:r>
    </w:p>
    <w:p>
      <w:pPr>
        <w:pStyle w:val="Heading3"/>
      </w:pPr>
      <w:r>
        <w:t>Launch service boundary</w:t>
      </w:r>
    </w:p>
    <w:p>
      <w:pPr/>
      <w:r>
        <w:t>Managed filing is available only for organizations whose filing profile, customer authorization, named representatives, backup coverage, and CSIRT association meet the service readiness rules. Until the external service provider model has been confirmed with the relevant CSIRT and legal counsel, customer self-filing remains the safe fallback. GET /v1/capabilities must report whether managed filing is available, manual only, temporarily unavailable, or replaced by a future official API connector.</w:t>
      </w:r>
    </w:p>
    <w:p>
      <w:pPr>
        <w:pStyle w:val="Heading1"/>
        <w:widowControl/>
      </w:pPr>
      <w:r>
        <w:t>12 Conformity documents and evidence bundles</w:t>
      </w:r>
    </w:p>
    <w:p>
      <w:pPr>
        <w:pStyle w:val="Heading2"/>
        <w:widowControl/>
      </w:pPr>
      <w:r>
        <w:t>Conformity documents</w:t>
      </w:r>
    </w:p>
    <w:p>
      <w:pPr>
        <w:widowControl/>
      </w:pPr>
      <w:r>
        <w:t>PandaX can assemble documents from product, release, scan, finding, and case records. Generated text must show where each field came from and which fields still need human input.</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/v1/releases/{release_id}/documents</w:t>
            </w:r>
          </w:p>
        </w:tc>
        <w:tc>
          <w:tcPr>
            <w:tcW w:type="dxa" w:w="5112"/>
            <w:shd w:fill="F4F8FC"/>
            <w:tcMar>
              <w:top w:w="60" w:type="dxa"/>
              <w:left w:w="120" w:type="dxa"/>
              <w:bottom w:w="60" w:type="dxa"/>
              <w:right w:w="120" w:type="dxa"/>
            </w:tcMar>
            <w:vAlign w:val="top"/>
          </w:tcPr>
          <w:p>
            <w:pPr>
              <w:spacing w:after="0"/>
            </w:pPr>
            <w:r>
              <w:rPr>
                <w:rFonts w:ascii="Aptos" w:hAnsi="Aptos"/>
                <w:sz w:val="16"/>
              </w:rPr>
              <w:t>Create a supported CRA document draft.</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List</w:t>
            </w:r>
          </w:p>
        </w:tc>
        <w:tc>
          <w:tcPr>
            <w:tcW w:type="dxa" w:w="3600"/>
            <w:shd w:fill="FFFFFF"/>
            <w:tcMar>
              <w:top w:w="60" w:type="dxa"/>
              <w:left w:w="120" w:type="dxa"/>
              <w:bottom w:w="60" w:type="dxa"/>
              <w:right w:w="120" w:type="dxa"/>
            </w:tcMar>
            <w:vAlign w:val="top"/>
          </w:tcPr>
          <w:p>
            <w:pPr>
              <w:spacing w:after="0"/>
            </w:pPr>
            <w:r>
              <w:rPr>
                <w:rFonts w:ascii="Aptos" w:hAnsi="Aptos"/>
                <w:sz w:val="16"/>
              </w:rPr>
              <w:t>GET /v1/releases/{release_id}/documents</w:t>
            </w:r>
          </w:p>
        </w:tc>
        <w:tc>
          <w:tcPr>
            <w:tcW w:type="dxa" w:w="5112"/>
            <w:shd w:fill="FFFFFF"/>
            <w:tcMar>
              <w:top w:w="60" w:type="dxa"/>
              <w:left w:w="120" w:type="dxa"/>
              <w:bottom w:w="60" w:type="dxa"/>
              <w:right w:w="120" w:type="dxa"/>
            </w:tcMar>
            <w:vAlign w:val="top"/>
          </w:tcPr>
          <w:p>
            <w:pPr>
              <w:spacing w:after="0"/>
            </w:pPr>
            <w:r>
              <w:rPr>
                <w:rFonts w:ascii="Aptos" w:hAnsi="Aptos"/>
                <w:sz w:val="16"/>
              </w:rPr>
              <w:t>View drafts, approved versions, and missing information.</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View</w:t>
            </w:r>
          </w:p>
        </w:tc>
        <w:tc>
          <w:tcPr>
            <w:tcW w:type="dxa" w:w="3600"/>
            <w:shd w:fill="F4F8FC"/>
            <w:tcMar>
              <w:top w:w="60" w:type="dxa"/>
              <w:left w:w="120" w:type="dxa"/>
              <w:bottom w:w="60" w:type="dxa"/>
              <w:right w:w="120" w:type="dxa"/>
            </w:tcMar>
            <w:vAlign w:val="top"/>
          </w:tcPr>
          <w:p>
            <w:pPr>
              <w:spacing w:after="0"/>
            </w:pPr>
            <w:r>
              <w:rPr>
                <w:rFonts w:ascii="Aptos" w:hAnsi="Aptos"/>
                <w:sz w:val="16"/>
              </w:rPr>
              <w:t>GET /v1/documents/{document_id}</w:t>
            </w:r>
          </w:p>
        </w:tc>
        <w:tc>
          <w:tcPr>
            <w:tcW w:type="dxa" w:w="5112"/>
            <w:shd w:fill="F4F8FC"/>
            <w:tcMar>
              <w:top w:w="60" w:type="dxa"/>
              <w:left w:w="120" w:type="dxa"/>
              <w:bottom w:w="60" w:type="dxa"/>
              <w:right w:w="120" w:type="dxa"/>
            </w:tcMar>
            <w:vAlign w:val="top"/>
          </w:tcPr>
          <w:p>
            <w:pPr>
              <w:spacing w:after="0"/>
            </w:pPr>
            <w:r>
              <w:rPr>
                <w:rFonts w:ascii="Aptos" w:hAnsi="Aptos"/>
                <w:sz w:val="16"/>
              </w:rPr>
              <w:t>View fields, sources, revision, and review state.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Validate</w:t>
            </w:r>
          </w:p>
        </w:tc>
        <w:tc>
          <w:tcPr>
            <w:tcW w:type="dxa" w:w="3600"/>
            <w:shd w:fill="FFFFFF"/>
            <w:tcMar>
              <w:top w:w="60" w:type="dxa"/>
              <w:left w:w="120" w:type="dxa"/>
              <w:bottom w:w="60" w:type="dxa"/>
              <w:right w:w="120" w:type="dxa"/>
            </w:tcMar>
            <w:vAlign w:val="top"/>
          </w:tcPr>
          <w:p>
            <w:pPr>
              <w:spacing w:after="0"/>
            </w:pPr>
            <w:r>
              <w:rPr>
                <w:rFonts w:ascii="Aptos" w:hAnsi="Aptos"/>
                <w:sz w:val="16"/>
              </w:rPr>
              <w:t>POST /v1/documents/{document_id}:validate</w:t>
            </w:r>
          </w:p>
        </w:tc>
        <w:tc>
          <w:tcPr>
            <w:tcW w:type="dxa" w:w="5112"/>
            <w:shd w:fill="FFFFFF"/>
            <w:tcMar>
              <w:top w:w="60" w:type="dxa"/>
              <w:left w:w="120" w:type="dxa"/>
              <w:bottom w:w="60" w:type="dxa"/>
              <w:right w:w="120" w:type="dxa"/>
            </w:tcMar>
            <w:vAlign w:val="top"/>
          </w:tcPr>
          <w:p>
            <w:pPr>
              <w:spacing w:after="0"/>
            </w:pPr>
            <w:r>
              <w:rPr>
                <w:rFonts w:ascii="Aptos" w:hAnsi="Aptos"/>
                <w:sz w:val="16"/>
              </w:rPr>
              <w:t>Check completeness and PDF conformance where applicable.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Approve</w:t>
            </w:r>
          </w:p>
        </w:tc>
        <w:tc>
          <w:tcPr>
            <w:tcW w:type="dxa" w:w="3600"/>
            <w:shd w:fill="F4F8FC"/>
            <w:tcMar>
              <w:top w:w="60" w:type="dxa"/>
              <w:left w:w="120" w:type="dxa"/>
              <w:bottom w:w="60" w:type="dxa"/>
              <w:right w:w="120" w:type="dxa"/>
            </w:tcMar>
            <w:vAlign w:val="top"/>
          </w:tcPr>
          <w:p>
            <w:pPr>
              <w:spacing w:after="0"/>
            </w:pPr>
            <w:r>
              <w:rPr>
                <w:rFonts w:ascii="Aptos" w:hAnsi="Aptos"/>
                <w:sz w:val="16"/>
              </w:rPr>
              <w:t>POST /v1/documents/{document_id}/approvals</w:t>
            </w:r>
          </w:p>
        </w:tc>
        <w:tc>
          <w:tcPr>
            <w:tcW w:type="dxa" w:w="5112"/>
            <w:shd w:fill="F4F8FC"/>
            <w:tcMar>
              <w:top w:w="60" w:type="dxa"/>
              <w:left w:w="120" w:type="dxa"/>
              <w:bottom w:w="60" w:type="dxa"/>
              <w:right w:w="120" w:type="dxa"/>
            </w:tcMar>
            <w:vAlign w:val="top"/>
          </w:tcPr>
          <w:p>
            <w:pPr>
              <w:spacing w:after="0"/>
            </w:pPr>
            <w:r>
              <w:rPr>
                <w:rFonts w:ascii="Aptos" w:hAnsi="Aptos"/>
                <w:sz w:val="16"/>
              </w:rPr>
              <w:t>Approve the exact document revision.</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Export</w:t>
            </w:r>
          </w:p>
        </w:tc>
        <w:tc>
          <w:tcPr>
            <w:tcW w:type="dxa" w:w="3600"/>
            <w:shd w:fill="FFFFFF"/>
            <w:tcMar>
              <w:top w:w="60" w:type="dxa"/>
              <w:left w:w="120" w:type="dxa"/>
              <w:bottom w:w="60" w:type="dxa"/>
              <w:right w:w="120" w:type="dxa"/>
            </w:tcMar>
            <w:vAlign w:val="top"/>
          </w:tcPr>
          <w:p>
            <w:pPr>
              <w:spacing w:after="0"/>
            </w:pPr>
            <w:r>
              <w:rPr>
                <w:rFonts w:ascii="Aptos" w:hAnsi="Aptos"/>
                <w:sz w:val="16"/>
              </w:rPr>
              <w:t>POST /v1/documents/{document_id}/exports</w:t>
            </w:r>
          </w:p>
        </w:tc>
        <w:tc>
          <w:tcPr>
            <w:tcW w:type="dxa" w:w="5112"/>
            <w:shd w:fill="FFFFFF"/>
            <w:tcMar>
              <w:top w:w="60" w:type="dxa"/>
              <w:left w:w="120" w:type="dxa"/>
              <w:bottom w:w="60" w:type="dxa"/>
              <w:right w:w="120" w:type="dxa"/>
            </w:tcMar>
            <w:vAlign w:val="top"/>
          </w:tcPr>
          <w:p>
            <w:pPr>
              <w:spacing w:after="0"/>
            </w:pPr>
            <w:r>
              <w:rPr>
                <w:rFonts w:ascii="Aptos" w:hAnsi="Aptos"/>
                <w:sz w:val="16"/>
              </w:rPr>
              <w:t>Produce PDF or another declared output format.</w:t>
            </w:r>
          </w:p>
        </w:tc>
      </w:tr>
    </w:tbl>
    <w:p>
      <w:pPr>
        <w:widowControl/>
        <w:spacing w:after="20"/>
      </w:pPr>
    </w:p>
    <w:p>
      <w:pPr>
        <w:widowControl/>
      </w:pPr>
      <w:r>
        <w:t>Supported product document types include the relevant technical documentation, declaration of conformity, and simplified declaration forms. Templates and required fields are versioned with the regulatory ruleset.</w:t>
      </w:r>
    </w:p>
    <w:p>
      <w:pPr>
        <w:pStyle w:val="Heading2"/>
        <w:widowControl/>
      </w:pPr>
      <w:r>
        <w:t>Evidence bundles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Create</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/v1/releases/{release_id}/evidence-bundles</w:t>
            </w:r>
          </w:p>
        </w:tc>
        <w:tc>
          <w:tcPr>
            <w:tcW w:type="dxa" w:w="5112"/>
            <w:shd w:fill="F4F8FC"/>
            <w:tcMar>
              <w:top w:w="60" w:type="dxa"/>
              <w:left w:w="120" w:type="dxa"/>
              <w:bottom w:w="60" w:type="dxa"/>
              <w:right w:w="120" w:type="dxa"/>
            </w:tcMar>
            <w:vAlign w:val="top"/>
          </w:tcPr>
          <w:p>
            <w:pPr>
              <w:spacing w:after="0"/>
            </w:pPr>
            <w:r>
              <w:rPr>
                <w:rFonts w:ascii="Aptos" w:hAnsi="Aptos"/>
                <w:sz w:val="16"/>
              </w:rPr>
              <w:t>Collect selected evidence and generate a manifest.</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View</w:t>
            </w:r>
          </w:p>
        </w:tc>
        <w:tc>
          <w:tcPr>
            <w:tcW w:type="dxa" w:w="3600"/>
            <w:shd w:fill="FFFFFF"/>
            <w:tcMar>
              <w:top w:w="60" w:type="dxa"/>
              <w:left w:w="120" w:type="dxa"/>
              <w:bottom w:w="60" w:type="dxa"/>
              <w:right w:w="120" w:type="dxa"/>
            </w:tcMar>
            <w:vAlign w:val="top"/>
          </w:tcPr>
          <w:p>
            <w:pPr>
              <w:spacing w:after="0"/>
            </w:pPr>
            <w:r>
              <w:rPr>
                <w:rFonts w:ascii="Aptos" w:hAnsi="Aptos"/>
                <w:sz w:val="16"/>
              </w:rPr>
              <w:t>GET /v1/evidence-bundles/{bundle_id}</w:t>
            </w:r>
          </w:p>
        </w:tc>
        <w:tc>
          <w:tcPr>
            <w:tcW w:type="dxa" w:w="5112"/>
            <w:shd w:fill="FFFFFF"/>
            <w:tcMar>
              <w:top w:w="60" w:type="dxa"/>
              <w:left w:w="120" w:type="dxa"/>
              <w:bottom w:w="60" w:type="dxa"/>
              <w:right w:w="120" w:type="dxa"/>
            </w:tcMar>
            <w:vAlign w:val="top"/>
          </w:tcPr>
          <w:p>
            <w:pPr>
              <w:spacing w:after="0"/>
            </w:pPr>
            <w:r>
              <w:rPr>
                <w:rFonts w:ascii="Aptos" w:hAnsi="Aptos"/>
                <w:sz w:val="16"/>
              </w:rPr>
              <w:t>View contents, hashes, seal, and verification state.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Seal</w:t>
            </w:r>
          </w:p>
        </w:tc>
        <w:tc>
          <w:tcPr>
            <w:tcW w:type="dxa" w:w="3600"/>
            <w:shd w:fill="F4F8FC"/>
            <w:tcMar>
              <w:top w:w="60" w:type="dxa"/>
              <w:left w:w="120" w:type="dxa"/>
              <w:bottom w:w="60" w:type="dxa"/>
              <w:right w:w="120" w:type="dxa"/>
            </w:tcMar>
            <w:vAlign w:val="top"/>
          </w:tcPr>
          <w:p>
            <w:pPr>
              <w:spacing w:after="0"/>
            </w:pPr>
            <w:r>
              <w:rPr>
                <w:rFonts w:ascii="Aptos" w:hAnsi="Aptos"/>
                <w:sz w:val="16"/>
              </w:rPr>
              <w:t>POST /v1/evidence-bundles/{bundle_id}:seal</w:t>
            </w:r>
          </w:p>
        </w:tc>
        <w:tc>
          <w:tcPr>
            <w:tcW w:type="dxa" w:w="5112"/>
            <w:shd w:fill="F4F8FC"/>
            <w:tcMar>
              <w:top w:w="60" w:type="dxa"/>
              <w:left w:w="120" w:type="dxa"/>
              <w:bottom w:w="60" w:type="dxa"/>
              <w:right w:w="120" w:type="dxa"/>
            </w:tcMar>
            <w:vAlign w:val="top"/>
          </w:tcPr>
          <w:p>
            <w:pPr>
              <w:spacing w:after="0"/>
            </w:pPr>
            <w:r>
              <w:rPr>
                <w:rFonts w:ascii="Aptos" w:hAnsi="Aptos"/>
                <w:sz w:val="16"/>
              </w:rPr>
              <w:t>Sign the manifest using an approved organization key.</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Verify</w:t>
            </w:r>
          </w:p>
        </w:tc>
        <w:tc>
          <w:tcPr>
            <w:tcW w:type="dxa" w:w="3600"/>
            <w:shd w:fill="FFFFFF"/>
            <w:tcMar>
              <w:top w:w="60" w:type="dxa"/>
              <w:left w:w="120" w:type="dxa"/>
              <w:bottom w:w="60" w:type="dxa"/>
              <w:right w:w="120" w:type="dxa"/>
            </w:tcMar>
            <w:vAlign w:val="top"/>
          </w:tcPr>
          <w:p>
            <w:pPr>
              <w:spacing w:after="0"/>
            </w:pPr>
            <w:r>
              <w:rPr>
                <w:rFonts w:ascii="Aptos" w:hAnsi="Aptos"/>
                <w:sz w:val="16"/>
              </w:rPr>
              <w:t>POST /v1/evidence-bundles/{bundle_id}:verify</w:t>
            </w:r>
          </w:p>
        </w:tc>
        <w:tc>
          <w:tcPr>
            <w:tcW w:type="dxa" w:w="5112"/>
            <w:shd w:fill="FFFFFF"/>
            <w:tcMar>
              <w:top w:w="60" w:type="dxa"/>
              <w:left w:w="120" w:type="dxa"/>
              <w:bottom w:w="60" w:type="dxa"/>
              <w:right w:w="120" w:type="dxa"/>
            </w:tcMar>
            <w:vAlign w:val="top"/>
          </w:tcPr>
          <w:p>
            <w:pPr>
              <w:spacing w:after="0"/>
            </w:pPr>
            <w:r>
              <w:rPr>
                <w:rFonts w:ascii="Aptos" w:hAnsi="Aptos"/>
                <w:sz w:val="16"/>
              </w:rPr>
              <w:t>Check file integrity and signer trust as separate results.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Export</w:t>
            </w:r>
          </w:p>
        </w:tc>
        <w:tc>
          <w:tcPr>
            <w:tcW w:type="dxa" w:w="3600"/>
            <w:shd w:fill="F4F8FC"/>
            <w:tcMar>
              <w:top w:w="60" w:type="dxa"/>
              <w:left w:w="120" w:type="dxa"/>
              <w:bottom w:w="60" w:type="dxa"/>
              <w:right w:w="120" w:type="dxa"/>
            </w:tcMar>
            <w:vAlign w:val="top"/>
          </w:tcPr>
          <w:p>
            <w:pPr>
              <w:spacing w:after="0"/>
            </w:pPr>
            <w:r>
              <w:rPr>
                <w:rFonts w:ascii="Aptos" w:hAnsi="Aptos"/>
                <w:sz w:val="16"/>
              </w:rPr>
              <w:t>GET /v1/evidence-bundles/{bundle_id}/content</w:t>
            </w:r>
          </w:p>
        </w:tc>
        <w:tc>
          <w:tcPr>
            <w:tcW w:type="dxa" w:w="5112"/>
            <w:shd w:fill="F4F8FC"/>
            <w:tcMar>
              <w:top w:w="60" w:type="dxa"/>
              <w:left w:w="120" w:type="dxa"/>
              <w:bottom w:w="60" w:type="dxa"/>
              <w:right w:w="120" w:type="dxa"/>
            </w:tcMar>
            <w:vAlign w:val="top"/>
          </w:tcPr>
          <w:p>
            <w:pPr>
              <w:spacing w:after="0"/>
            </w:pPr>
            <w:r>
              <w:rPr>
                <w:rFonts w:ascii="Aptos" w:hAnsi="Aptos"/>
                <w:sz w:val="16"/>
              </w:rPr>
              <w:t>Download the portable bundle.</w:t>
            </w:r>
          </w:p>
        </w:tc>
      </w:tr>
    </w:tbl>
    <w:p>
      <w:pPr>
        <w:widowControl/>
        <w:spacing w:after="20"/>
      </w:pPr>
    </w:p>
    <w:p>
      <w:pPr>
        <w:pStyle w:val="Heading2"/>
        <w:widowControl/>
      </w:pPr>
      <w:r>
        <w:t>Verification result</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448"/>
            <w:shd w:fill="17365D"/>
            <w:tcMar>
              <w:top w:w="100" w:type="dxa"/>
              <w:left w:w="120" w:type="dxa"/>
              <w:bottom w:w="100" w:type="dxa"/>
              <w:right w:w="120" w:type="dxa"/>
            </w:tcMar>
            <w:vAlign w:val="center"/>
          </w:tcPr>
          <w:p>
            <w:pPr>
              <w:keepNext/>
            </w:pPr>
            <w:r>
              <w:rPr>
                <w:rFonts w:ascii="Aptos" w:hAnsi="Aptos"/>
                <w:b/>
                <w:color w:val="FFFFFF"/>
                <w:sz w:val="19"/>
              </w:rPr>
              <w:t>Result</w:t>
            </w:r>
          </w:p>
        </w:tc>
        <w:tc>
          <w:tcPr>
            <w:tcW w:type="dxa" w:w="7848"/>
            <w:shd w:fill="17365D"/>
            <w:tcMar>
              <w:top w:w="100" w:type="dxa"/>
              <w:left w:w="120" w:type="dxa"/>
              <w:bottom w:w="100" w:type="dxa"/>
              <w:right w:w="120" w:type="dxa"/>
            </w:tcMar>
            <w:vAlign w:val="center"/>
          </w:tcPr>
          <w:p>
            <w:pPr>
              <w:keepNext/>
            </w:pPr>
            <w:r>
              <w:rPr>
                <w:rFonts w:ascii="Aptos" w:hAnsi="Aptos"/>
                <w:b/>
                <w:color w:val="FFFFFF"/>
                <w:sz w:val="19"/>
              </w:rPr>
              <w:t>Meaning</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Integrity valid</w:t>
            </w:r>
          </w:p>
        </w:tc>
        <w:tc>
          <w:tcPr>
            <w:tcW w:type="dxa" w:w="7848"/>
            <w:shd w:fill="F4F8FC"/>
            <w:tcMar>
              <w:top w:w="90" w:type="dxa"/>
              <w:left w:w="120" w:type="dxa"/>
              <w:bottom w:w="90" w:type="dxa"/>
              <w:right w:w="120" w:type="dxa"/>
            </w:tcMar>
            <w:vAlign w:val="top"/>
          </w:tcPr>
          <w:p>
            <w:pPr>
              <w:spacing w:after="0"/>
            </w:pPr>
            <w:r>
              <w:rPr>
                <w:rFonts w:ascii="Aptos" w:hAnsi="Aptos"/>
                <w:sz w:val="18"/>
              </w:rPr>
              <w:t>The contents match the manifest and the signature is mathematically valid.</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Signer trusted</w:t>
            </w:r>
          </w:p>
        </w:tc>
        <w:tc>
          <w:tcPr>
            <w:tcW w:type="dxa" w:w="7848"/>
            <w:shd w:fill="FFFFFF"/>
            <w:tcMar>
              <w:top w:w="90" w:type="dxa"/>
              <w:left w:w="120" w:type="dxa"/>
              <w:bottom w:w="90" w:type="dxa"/>
              <w:right w:w="120" w:type="dxa"/>
            </w:tcMar>
            <w:vAlign w:val="top"/>
          </w:tcPr>
          <w:p>
            <w:pPr>
              <w:spacing w:after="0"/>
            </w:pPr>
            <w:r>
              <w:rPr>
                <w:rFonts w:ascii="Aptos" w:hAnsi="Aptos"/>
                <w:sz w:val="18"/>
              </w:rPr>
              <w:t>The signing key chains to a trust source supplied outside the bundle and accepted by policy.</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Signer untrusted</w:t>
            </w:r>
          </w:p>
        </w:tc>
        <w:tc>
          <w:tcPr>
            <w:tcW w:type="dxa" w:w="7848"/>
            <w:shd w:fill="F4F8FC"/>
            <w:tcMar>
              <w:top w:w="90" w:type="dxa"/>
              <w:left w:w="120" w:type="dxa"/>
              <w:bottom w:w="90" w:type="dxa"/>
              <w:right w:w="120" w:type="dxa"/>
            </w:tcMar>
            <w:vAlign w:val="top"/>
          </w:tcPr>
          <w:p>
            <w:pPr>
              <w:spacing w:after="0"/>
            </w:pPr>
            <w:r>
              <w:rPr>
                <w:rFonts w:ascii="Aptos" w:hAnsi="Aptos"/>
                <w:sz w:val="18"/>
              </w:rPr>
              <w:t>Integrity may be valid, but the signer is not trusted by the selected policy.</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Integrity invalid</w:t>
            </w:r>
          </w:p>
        </w:tc>
        <w:tc>
          <w:tcPr>
            <w:tcW w:type="dxa" w:w="7848"/>
            <w:shd w:fill="FFFFFF"/>
            <w:tcMar>
              <w:top w:w="90" w:type="dxa"/>
              <w:left w:w="120" w:type="dxa"/>
              <w:bottom w:w="90" w:type="dxa"/>
              <w:right w:w="120" w:type="dxa"/>
            </w:tcMar>
            <w:vAlign w:val="top"/>
          </w:tcPr>
          <w:p>
            <w:pPr>
              <w:spacing w:after="0"/>
            </w:pPr>
            <w:r>
              <w:rPr>
                <w:rFonts w:ascii="Aptos" w:hAnsi="Aptos"/>
                <w:sz w:val="18"/>
              </w:rPr>
              <w:t>At least one file, manifest field, or signature does not match.</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Verification incomplete</w:t>
            </w:r>
          </w:p>
        </w:tc>
        <w:tc>
          <w:tcPr>
            <w:tcW w:type="dxa" w:w="7848"/>
            <w:shd w:fill="F4F8FC"/>
            <w:tcMar>
              <w:top w:w="90" w:type="dxa"/>
              <w:left w:w="120" w:type="dxa"/>
              <w:bottom w:w="90" w:type="dxa"/>
              <w:right w:w="120" w:type="dxa"/>
            </w:tcMar>
            <w:vAlign w:val="top"/>
          </w:tcPr>
          <w:p>
            <w:pPr>
              <w:spacing w:after="0"/>
            </w:pPr>
            <w:r>
              <w:rPr>
                <w:rFonts w:ascii="Aptos" w:hAnsi="Aptos"/>
                <w:sz w:val="18"/>
              </w:rPr>
              <w:t>A required key, certificate, algorithm, or file is unavailable.</w:t>
            </w:r>
          </w:p>
        </w:tc>
      </w:tr>
    </w:tbl>
    <w:p>
      <w:pPr>
        <w:widowControl/>
        <w:spacing w:after="20"/>
      </w:pPr>
    </w:p>
    <w:p>
      <w:pPr>
        <w:pStyle w:val="Heading1"/>
        <w:widowControl/>
      </w:pPr>
      <w:r>
        <w:t>13 Compliance overview and notifications</w:t>
      </w:r>
    </w:p>
    <w:p>
      <w:pPr>
        <w:widowControl/>
      </w:pPr>
      <w:r>
        <w:t>The overview helps teams prioritize work. It summarizes evidence and deadlines but never turns an incomplete scan into a false assurance of compliance.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656"/>
            <w:shd w:fill="17365D"/>
            <w:tcMar>
              <w:top w:w="70" w:type="dxa"/>
              <w:left w:w="120" w:type="dxa"/>
              <w:bottom w:w="70" w:type="dxa"/>
              <w:right w:w="120" w:type="dxa"/>
            </w:tcMar>
            <w:vAlign w:val="center"/>
          </w:tcPr>
          <w:p>
            <w:pPr>
              <w:keepNext/>
            </w:pPr>
            <w:r>
              <w:rPr>
                <w:rFonts w:ascii="Aptos" w:hAnsi="Aptos"/>
                <w:b/>
                <w:color w:val="FFFFFF"/>
                <w:sz w:val="17"/>
              </w:rPr>
              <w:t>Action</w:t>
            </w:r>
          </w:p>
        </w:tc>
        <w:tc>
          <w:tcPr>
            <w:tcW w:type="dxa" w:w="3600"/>
            <w:shd w:fill="17365D"/>
            <w:tcMar>
              <w:top w:w="70" w:type="dxa"/>
              <w:left w:w="120" w:type="dxa"/>
              <w:bottom w:w="70" w:type="dxa"/>
              <w:right w:w="120" w:type="dxa"/>
            </w:tcMar>
            <w:vAlign w:val="center"/>
          </w:tcPr>
          <w:p>
            <w:pPr>
              <w:keepNext/>
            </w:pPr>
            <w:r>
              <w:rPr>
                <w:rFonts w:ascii="Aptos" w:hAnsi="Aptos"/>
                <w:b/>
                <w:color w:val="FFFFFF"/>
                <w:sz w:val="17"/>
              </w:rPr>
              <w:t>API path</w:t>
            </w:r>
          </w:p>
        </w:tc>
        <w:tc>
          <w:tcPr>
            <w:tcW w:type="dxa" w:w="5112"/>
            <w:shd w:fill="17365D"/>
            <w:tcMar>
              <w:top w:w="70" w:type="dxa"/>
              <w:left w:w="120" w:type="dxa"/>
              <w:bottom w:w="70" w:type="dxa"/>
              <w:right w:w="120" w:type="dxa"/>
            </w:tcMar>
            <w:vAlign w:val="center"/>
          </w:tcPr>
          <w:p>
            <w:pPr>
              <w:keepNext/>
            </w:pPr>
            <w:r>
              <w:rPr>
                <w:rFonts w:ascii="Aptos" w:hAnsi="Aptos"/>
                <w:b/>
                <w:color w:val="FFFFFF"/>
                <w:sz w:val="17"/>
              </w:rPr>
              <w:t>What it means</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Overview</w:t>
            </w:r>
          </w:p>
        </w:tc>
        <w:tc>
          <w:tcPr>
            <w:tcW w:type="dxa" w:w="3600"/>
            <w:shd w:fill="F4F8FC"/>
            <w:tcMar>
              <w:top w:w="60" w:type="dxa"/>
              <w:left w:w="120" w:type="dxa"/>
              <w:bottom w:w="60" w:type="dxa"/>
              <w:right w:w="120" w:type="dxa"/>
            </w:tcMar>
            <w:vAlign w:val="top"/>
          </w:tcPr>
          <w:p>
            <w:pPr>
              <w:spacing w:after="0"/>
            </w:pPr>
            <w:r>
              <w:rPr>
                <w:rFonts w:ascii="Aptos" w:hAnsi="Aptos"/>
                <w:sz w:val="16"/>
              </w:rPr>
              <w:t>GET /v1/products/{product_id}/compliance-overview</w:t>
            </w:r>
          </w:p>
        </w:tc>
        <w:tc>
          <w:tcPr>
            <w:tcW w:type="dxa" w:w="5112"/>
            <w:shd w:fill="F4F8FC"/>
            <w:tcMar>
              <w:top w:w="60" w:type="dxa"/>
              <w:left w:w="120" w:type="dxa"/>
              <w:bottom w:w="60" w:type="dxa"/>
              <w:right w:w="120" w:type="dxa"/>
            </w:tcMar>
            <w:vAlign w:val="top"/>
          </w:tcPr>
          <w:p>
            <w:pPr>
              <w:spacing w:after="0"/>
            </w:pPr>
            <w:r>
              <w:rPr>
                <w:rFonts w:ascii="Aptos" w:hAnsi="Aptos"/>
                <w:sz w:val="16"/>
              </w:rPr>
              <w:t>View release coverage, open findings, cases, deadlines, documents, and evidence.</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Release view</w:t>
            </w:r>
          </w:p>
        </w:tc>
        <w:tc>
          <w:tcPr>
            <w:tcW w:type="dxa" w:w="3600"/>
            <w:shd w:fill="FFFFFF"/>
            <w:tcMar>
              <w:top w:w="60" w:type="dxa"/>
              <w:left w:w="120" w:type="dxa"/>
              <w:bottom w:w="60" w:type="dxa"/>
              <w:right w:w="120" w:type="dxa"/>
            </w:tcMar>
            <w:vAlign w:val="top"/>
          </w:tcPr>
          <w:p>
            <w:pPr>
              <w:spacing w:after="0"/>
            </w:pPr>
            <w:r>
              <w:rPr>
                <w:rFonts w:ascii="Aptos" w:hAnsi="Aptos"/>
                <w:sz w:val="16"/>
              </w:rPr>
              <w:t>GET /v1/releases/{release_id}/compliance-overview</w:t>
            </w:r>
          </w:p>
        </w:tc>
        <w:tc>
          <w:tcPr>
            <w:tcW w:type="dxa" w:w="5112"/>
            <w:shd w:fill="FFFFFF"/>
            <w:tcMar>
              <w:top w:w="60" w:type="dxa"/>
              <w:left w:w="120" w:type="dxa"/>
              <w:bottom w:w="60" w:type="dxa"/>
              <w:right w:w="120" w:type="dxa"/>
            </w:tcMar>
            <w:vAlign w:val="top"/>
          </w:tcPr>
          <w:p>
            <w:pPr>
              <w:spacing w:after="0"/>
            </w:pPr>
            <w:r>
              <w:rPr>
                <w:rFonts w:ascii="Aptos" w:hAnsi="Aptos"/>
                <w:sz w:val="16"/>
              </w:rPr>
              <w:t>View detailed readiness for one release.</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Readiness check</w:t>
            </w:r>
          </w:p>
        </w:tc>
        <w:tc>
          <w:tcPr>
            <w:tcW w:type="dxa" w:w="3600"/>
            <w:shd w:fill="F4F8FC"/>
            <w:tcMar>
              <w:top w:w="60" w:type="dxa"/>
              <w:left w:w="120" w:type="dxa"/>
              <w:bottom w:w="60" w:type="dxa"/>
              <w:right w:w="120" w:type="dxa"/>
            </w:tcMar>
            <w:vAlign w:val="top"/>
          </w:tcPr>
          <w:p>
            <w:pPr>
              <w:spacing w:after="0"/>
            </w:pPr>
            <w:r>
              <w:rPr>
                <w:rFonts w:ascii="Aptos" w:hAnsi="Aptos"/>
                <w:sz w:val="16"/>
              </w:rPr>
              <w:t>POST /v1/releases/{release_id}/readiness-checks</w:t>
            </w:r>
          </w:p>
        </w:tc>
        <w:tc>
          <w:tcPr>
            <w:tcW w:type="dxa" w:w="5112"/>
            <w:shd w:fill="F4F8FC"/>
            <w:tcMar>
              <w:top w:w="60" w:type="dxa"/>
              <w:left w:w="120" w:type="dxa"/>
              <w:bottom w:w="60" w:type="dxa"/>
              <w:right w:w="120" w:type="dxa"/>
            </w:tcMar>
            <w:vAlign w:val="top"/>
          </w:tcPr>
          <w:p>
            <w:pPr>
              <w:spacing w:after="0"/>
            </w:pPr>
            <w:r>
              <w:rPr>
                <w:rFonts w:ascii="Aptos" w:hAnsi="Aptos"/>
                <w:sz w:val="16"/>
              </w:rPr>
              <w:t>Create a dated checklist using a named ruleset version.</w:t>
            </w:r>
          </w:p>
        </w:tc>
      </w:tr>
      <w:tr>
        <w:trPr>
          <w:cantSplit/>
        </w:trPr>
        <w:tc>
          <w:tcPr>
            <w:tcW w:type="dxa" w:w="1656"/>
            <w:shd w:fill="FFFFFF"/>
            <w:tcMar>
              <w:top w:w="60" w:type="dxa"/>
              <w:left w:w="120" w:type="dxa"/>
              <w:bottom w:w="60" w:type="dxa"/>
              <w:right w:w="120" w:type="dxa"/>
            </w:tcMar>
            <w:vAlign w:val="top"/>
          </w:tcPr>
          <w:p>
            <w:pPr>
              <w:spacing w:after="0"/>
            </w:pPr>
            <w:r>
              <w:rPr>
                <w:rFonts w:ascii="Aptos" w:hAnsi="Aptos"/>
                <w:sz w:val="16"/>
              </w:rPr>
              <w:t>Subscriptions</w:t>
            </w:r>
          </w:p>
        </w:tc>
        <w:tc>
          <w:tcPr>
            <w:tcW w:type="dxa" w:w="3600"/>
            <w:shd w:fill="FFFFFF"/>
            <w:tcMar>
              <w:top w:w="60" w:type="dxa"/>
              <w:left w:w="120" w:type="dxa"/>
              <w:bottom w:w="60" w:type="dxa"/>
              <w:right w:w="120" w:type="dxa"/>
            </w:tcMar>
            <w:vAlign w:val="top"/>
          </w:tcPr>
          <w:p>
            <w:pPr>
              <w:spacing w:after="0"/>
            </w:pPr>
            <w:r>
              <w:rPr>
                <w:rFonts w:ascii="Aptos" w:hAnsi="Aptos"/>
                <w:sz w:val="16"/>
              </w:rPr>
              <w:t>POST /v1/event-subscriptions</w:t>
            </w:r>
          </w:p>
        </w:tc>
        <w:tc>
          <w:tcPr>
            <w:tcW w:type="dxa" w:w="5112"/>
            <w:shd w:fill="FFFFFF"/>
            <w:tcMar>
              <w:top w:w="60" w:type="dxa"/>
              <w:left w:w="120" w:type="dxa"/>
              <w:bottom w:w="60" w:type="dxa"/>
              <w:right w:w="120" w:type="dxa"/>
            </w:tcMar>
            <w:vAlign w:val="top"/>
          </w:tcPr>
          <w:p>
            <w:pPr>
              <w:spacing w:after="0"/>
            </w:pPr>
            <w:r>
              <w:rPr>
                <w:rFonts w:ascii="Aptos" w:hAnsi="Aptos"/>
                <w:sz w:val="16"/>
              </w:rPr>
              <w:t>Receive selected product events through a webhook or supported integration.</w:t>
            </w:r>
          </w:p>
        </w:tc>
      </w:tr>
      <w:tr>
        <w:trPr>
          <w:cantSplit/>
        </w:trPr>
        <w:tc>
          <w:tcPr>
            <w:tcW w:type="dxa" w:w="1656"/>
            <w:shd w:fill="F4F8FC"/>
            <w:tcMar>
              <w:top w:w="60" w:type="dxa"/>
              <w:left w:w="120" w:type="dxa"/>
              <w:bottom w:w="60" w:type="dxa"/>
              <w:right w:w="120" w:type="dxa"/>
            </w:tcMar>
            <w:vAlign w:val="top"/>
          </w:tcPr>
          <w:p>
            <w:pPr>
              <w:spacing w:after="0"/>
            </w:pPr>
            <w:r>
              <w:rPr>
                <w:rFonts w:ascii="Aptos" w:hAnsi="Aptos"/>
                <w:sz w:val="16"/>
              </w:rPr>
              <w:t>Test subscription</w:t>
            </w:r>
          </w:p>
        </w:tc>
        <w:tc>
          <w:tcPr>
            <w:tcW w:type="dxa" w:w="3600"/>
            <w:shd w:fill="F4F8FC"/>
            <w:tcMar>
              <w:top w:w="60" w:type="dxa"/>
              <w:left w:w="120" w:type="dxa"/>
              <w:bottom w:w="60" w:type="dxa"/>
              <w:right w:w="120" w:type="dxa"/>
            </w:tcMar>
            <w:vAlign w:val="top"/>
          </w:tcPr>
          <w:p>
            <w:pPr>
              <w:spacing w:after="0"/>
            </w:pPr>
            <w:r>
              <w:rPr>
                <w:rFonts w:ascii="Aptos" w:hAnsi="Aptos"/>
                <w:sz w:val="16"/>
              </w:rPr>
              <w:t>POST /v1/event-subscriptions/{subscription_id}:test</w:t>
            </w:r>
          </w:p>
        </w:tc>
        <w:tc>
          <w:tcPr>
            <w:tcW w:type="dxa" w:w="5112"/>
            <w:shd w:fill="F4F8FC"/>
            <w:tcMar>
              <w:top w:w="60" w:type="dxa"/>
              <w:left w:w="120" w:type="dxa"/>
              <w:bottom w:w="60" w:type="dxa"/>
              <w:right w:w="120" w:type="dxa"/>
            </w:tcMar>
            <w:vAlign w:val="top"/>
          </w:tcPr>
          <w:p>
            <w:pPr>
              <w:spacing w:after="0"/>
            </w:pPr>
            <w:r>
              <w:rPr>
                <w:rFonts w:ascii="Aptos" w:hAnsi="Aptos"/>
                <w:sz w:val="16"/>
              </w:rPr>
              <w:t>Confirm that a notification destination can receive signed messages.</w:t>
            </w:r>
          </w:p>
        </w:tc>
      </w:tr>
    </w:tbl>
    <w:p>
      <w:pPr>
        <w:widowControl/>
        <w:spacing w:after="20"/>
      </w:pPr>
    </w:p>
    <w:p>
      <w:pPr>
        <w:pStyle w:val="Heading2"/>
        <w:widowControl/>
      </w:pPr>
      <w:r>
        <w:t>Overview labels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shd w:fill="17365D"/>
            <w:tcMar>
              <w:top w:w="100" w:type="dxa"/>
              <w:left w:w="120" w:type="dxa"/>
              <w:bottom w:w="100" w:type="dxa"/>
              <w:right w:w="120" w:type="dxa"/>
            </w:tcMar>
            <w:vAlign w:val="center"/>
          </w:tcPr>
          <w:p>
            <w:pPr>
              <w:keepNext/>
            </w:pPr>
            <w:r>
              <w:rPr>
                <w:rFonts w:ascii="Aptos" w:hAnsi="Aptos"/>
                <w:b/>
                <w:color w:val="FFFFFF"/>
                <w:sz w:val="19"/>
              </w:rPr>
              <w:t>Label</w:t>
            </w:r>
          </w:p>
        </w:tc>
        <w:tc>
          <w:tcPr>
            <w:tcW w:type="dxa" w:w="7704"/>
            <w:shd w:fill="17365D"/>
            <w:tcMar>
              <w:top w:w="100" w:type="dxa"/>
              <w:left w:w="120" w:type="dxa"/>
              <w:bottom w:w="100" w:type="dxa"/>
              <w:right w:w="120" w:type="dxa"/>
            </w:tcMar>
            <w:vAlign w:val="center"/>
          </w:tcPr>
          <w:p>
            <w:pPr>
              <w:keepNext/>
            </w:pPr>
            <w:r>
              <w:rPr>
                <w:rFonts w:ascii="Aptos" w:hAnsi="Aptos"/>
                <w:b/>
                <w:color w:val="FFFFFF"/>
                <w:sz w:val="19"/>
              </w:rPr>
              <w:t>Use</w:t>
            </w:r>
          </w:p>
        </w:tc>
      </w:tr>
      <w:tr>
        <w:trPr>
          <w:cantSplit/>
        </w:trPr>
        <w:tc>
          <w:tcPr>
            <w:tcW w:type="dxa" w:w="2592"/>
            <w:shd w:fill="F4F8FC"/>
            <w:tcMar>
              <w:top w:w="90" w:type="dxa"/>
              <w:left w:w="120" w:type="dxa"/>
              <w:bottom w:w="90" w:type="dxa"/>
              <w:right w:w="120" w:type="dxa"/>
            </w:tcMar>
            <w:vAlign w:val="top"/>
          </w:tcPr>
          <w:p>
            <w:pPr>
              <w:spacing w:after="0"/>
            </w:pPr>
            <w:r>
              <w:rPr>
                <w:rFonts w:ascii="Aptos" w:hAnsi="Aptos"/>
                <w:sz w:val="18"/>
              </w:rPr>
              <w:t>Ready</w:t>
            </w:r>
          </w:p>
        </w:tc>
        <w:tc>
          <w:tcPr>
            <w:tcW w:type="dxa" w:w="7704"/>
            <w:shd w:fill="F4F8FC"/>
            <w:tcMar>
              <w:top w:w="90" w:type="dxa"/>
              <w:left w:w="120" w:type="dxa"/>
              <w:bottom w:w="90" w:type="dxa"/>
              <w:right w:w="120" w:type="dxa"/>
            </w:tcMar>
            <w:vAlign w:val="top"/>
          </w:tcPr>
          <w:p>
            <w:pPr>
              <w:spacing w:after="0"/>
            </w:pPr>
            <w:r>
              <w:rPr>
                <w:rFonts w:ascii="Aptos" w:hAnsi="Aptos"/>
                <w:sz w:val="18"/>
              </w:rPr>
              <w:t>Required evidence exists, validations passed, and no unresolved blocking item is known.</w:t>
            </w:r>
          </w:p>
        </w:tc>
      </w:tr>
      <w:tr>
        <w:trPr>
          <w:cantSplit/>
        </w:trPr>
        <w:tc>
          <w:tcPr>
            <w:tcW w:type="dxa" w:w="2592"/>
            <w:shd w:fill="FFFFFF"/>
            <w:tcMar>
              <w:top w:w="90" w:type="dxa"/>
              <w:left w:w="120" w:type="dxa"/>
              <w:bottom w:w="90" w:type="dxa"/>
              <w:right w:w="120" w:type="dxa"/>
            </w:tcMar>
            <w:vAlign w:val="top"/>
          </w:tcPr>
          <w:p>
            <w:pPr>
              <w:spacing w:after="0"/>
            </w:pPr>
            <w:r>
              <w:rPr>
                <w:rFonts w:ascii="Aptos" w:hAnsi="Aptos"/>
                <w:sz w:val="18"/>
              </w:rPr>
              <w:t>Needs attention</w:t>
            </w:r>
          </w:p>
        </w:tc>
        <w:tc>
          <w:tcPr>
            <w:tcW w:type="dxa" w:w="7704"/>
            <w:shd w:fill="FFFFFF"/>
            <w:tcMar>
              <w:top w:w="90" w:type="dxa"/>
              <w:left w:w="120" w:type="dxa"/>
              <w:bottom w:w="90" w:type="dxa"/>
              <w:right w:w="120" w:type="dxa"/>
            </w:tcMar>
            <w:vAlign w:val="top"/>
          </w:tcPr>
          <w:p>
            <w:pPr>
              <w:spacing w:after="0"/>
            </w:pPr>
            <w:r>
              <w:rPr>
                <w:rFonts w:ascii="Aptos" w:hAnsi="Aptos"/>
                <w:sz w:val="18"/>
              </w:rPr>
              <w:t>A deadline, important finding, missing approval, or stale source needs action.</w:t>
            </w:r>
          </w:p>
        </w:tc>
      </w:tr>
      <w:tr>
        <w:trPr>
          <w:cantSplit/>
        </w:trPr>
        <w:tc>
          <w:tcPr>
            <w:tcW w:type="dxa" w:w="2592"/>
            <w:shd w:fill="F4F8FC"/>
            <w:tcMar>
              <w:top w:w="90" w:type="dxa"/>
              <w:left w:w="120" w:type="dxa"/>
              <w:bottom w:w="90" w:type="dxa"/>
              <w:right w:w="120" w:type="dxa"/>
            </w:tcMar>
            <w:vAlign w:val="top"/>
          </w:tcPr>
          <w:p>
            <w:pPr>
              <w:spacing w:after="0"/>
            </w:pPr>
            <w:r>
              <w:rPr>
                <w:rFonts w:ascii="Aptos" w:hAnsi="Aptos"/>
                <w:sz w:val="18"/>
              </w:rPr>
              <w:t>Incomplete evidence</w:t>
            </w:r>
          </w:p>
        </w:tc>
        <w:tc>
          <w:tcPr>
            <w:tcW w:type="dxa" w:w="7704"/>
            <w:shd w:fill="F4F8FC"/>
            <w:tcMar>
              <w:top w:w="90" w:type="dxa"/>
              <w:left w:w="120" w:type="dxa"/>
              <w:bottom w:w="90" w:type="dxa"/>
              <w:right w:w="120" w:type="dxa"/>
            </w:tcMar>
            <w:vAlign w:val="top"/>
          </w:tcPr>
          <w:p>
            <w:pPr>
              <w:spacing w:after="0"/>
            </w:pPr>
            <w:r>
              <w:rPr>
                <w:rFonts w:ascii="Aptos" w:hAnsi="Aptos"/>
                <w:sz w:val="18"/>
              </w:rPr>
              <w:t>Required information or coverage is missing, so no confident conclusion can be made.</w:t>
            </w:r>
          </w:p>
        </w:tc>
      </w:tr>
      <w:tr>
        <w:trPr>
          <w:cantSplit/>
        </w:trPr>
        <w:tc>
          <w:tcPr>
            <w:tcW w:type="dxa" w:w="2592"/>
            <w:shd w:fill="FFFFFF"/>
            <w:tcMar>
              <w:top w:w="90" w:type="dxa"/>
              <w:left w:w="120" w:type="dxa"/>
              <w:bottom w:w="90" w:type="dxa"/>
              <w:right w:w="120" w:type="dxa"/>
            </w:tcMar>
            <w:vAlign w:val="top"/>
          </w:tcPr>
          <w:p>
            <w:pPr>
              <w:spacing w:after="0"/>
            </w:pPr>
            <w:r>
              <w:rPr>
                <w:rFonts w:ascii="Aptos" w:hAnsi="Aptos"/>
                <w:sz w:val="18"/>
              </w:rPr>
              <w:t>Not applicable</w:t>
            </w:r>
          </w:p>
        </w:tc>
        <w:tc>
          <w:tcPr>
            <w:tcW w:type="dxa" w:w="7704"/>
            <w:shd w:fill="FFFFFF"/>
            <w:tcMar>
              <w:top w:w="90" w:type="dxa"/>
              <w:left w:w="120" w:type="dxa"/>
              <w:bottom w:w="90" w:type="dxa"/>
              <w:right w:w="120" w:type="dxa"/>
            </w:tcMar>
            <w:vAlign w:val="top"/>
          </w:tcPr>
          <w:p>
            <w:pPr>
              <w:spacing w:after="0"/>
            </w:pPr>
            <w:r>
              <w:rPr>
                <w:rFonts w:ascii="Aptos" w:hAnsi="Aptos"/>
                <w:sz w:val="18"/>
              </w:rPr>
              <w:t>A reviewed requirement does not apply, with a recorded reason.</w:t>
            </w:r>
          </w:p>
        </w:tc>
      </w:tr>
    </w:tbl>
    <w:p>
      <w:pPr>
        <w:widowControl/>
        <w:spacing w:after="20"/>
      </w:pPr>
    </w:p>
    <w:p>
      <w:pPr>
        <w:pStyle w:val="Heading1"/>
        <w:widowControl/>
      </w:pPr>
      <w:r>
        <w:t>14 Launch scope and later work</w:t>
      </w:r>
    </w:p>
    <w:p>
      <w:pPr>
        <w:widowControl/>
      </w:pPr>
      <w:r>
        <w:t>The final API names the complete product direction while keeping the first release honest about what is available. The capabilities endpoint and feature flags tell clients which optional modules are active.</w:t>
      </w:r>
    </w:p>
    <w:p>
      <w:pPr>
        <w:pStyle w:val="Heading2"/>
        <w:widowControl/>
      </w:pPr>
      <w:r>
        <w:t>Required for a credible first release</w:t>
      </w:r>
    </w:p>
    <w:p>
      <w:pPr>
        <w:pStyle w:val="ListBullet"/>
        <w:widowControl/>
      </w:pPr>
      <w:r>
        <w:t>Organization, product, and release records.</w:t>
      </w:r>
    </w:p>
    <w:p>
      <w:pPr>
        <w:pStyle w:val="ListBullet"/>
        <w:widowControl/>
      </w:pPr>
      <w:r>
        <w:t>Artifact and supported software bill of materials intake with immutable source evidence.</w:t>
      </w:r>
    </w:p>
    <w:p>
      <w:pPr>
        <w:pStyle w:val="ListBullet"/>
        <w:widowControl/>
      </w:pPr>
      <w:r>
        <w:t>Scan runs with explicit coverage and source freshness.</w:t>
      </w:r>
    </w:p>
    <w:p>
      <w:pPr>
        <w:pStyle w:val="ListBullet"/>
        <w:widowControl/>
      </w:pPr>
      <w:r>
        <w:t>Separate finding match, affectedness, reachability, reportability, and workflow states.</w:t>
      </w:r>
    </w:p>
    <w:p>
      <w:pPr>
        <w:pStyle w:val="ListBullet"/>
        <w:widowControl/>
      </w:pPr>
      <w:r>
        <w:t>Durable regulatory cases, events, awareness, deadlines, measure confirmation, and report revisions.</w:t>
      </w:r>
    </w:p>
    <w:p>
      <w:pPr>
        <w:pStyle w:val="ListBullet"/>
        <w:widowControl/>
      </w:pPr>
      <w:r>
        <w:t>Report and document approval by an authorized user at the customer company.</w:t>
      </w:r>
    </w:p>
    <w:p>
      <w:pPr>
        <w:pStyle w:val="ListBullet"/>
        <w:widowControl/>
      </w:pPr>
      <w:r>
        <w:t>Managed SRP filing by a named PandaX Assigned Representative after customer approval, with full audit records and a customer self-filing fallback.</w:t>
      </w:r>
    </w:p>
    <w:p>
      <w:pPr>
        <w:pStyle w:val="ListBullet"/>
        <w:widowControl/>
      </w:pPr>
      <w:r>
        <w:t>Evidence bundles with external trust verification.</w:t>
      </w:r>
    </w:p>
    <w:p>
      <w:pPr>
        <w:pStyle w:val="ListBullet"/>
        <w:widowControl/>
      </w:pPr>
      <w:r>
        <w:t>Continuous monitoring for supported releases with deduplication and source history.</w:t>
      </w:r>
    </w:p>
    <w:p>
      <w:pPr>
        <w:pStyle w:val="ListBullet"/>
        <w:widowControl/>
      </w:pPr>
      <w:r>
        <w:t>Basic role based access, audit history, retention policy, and signed notifications.</w:t>
      </w:r>
    </w:p>
    <w:p>
      <w:pPr>
        <w:pStyle w:val="Heading2"/>
        <w:widowControl/>
      </w:pPr>
      <w:r>
        <w:t>Valuable later additions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shd w:fill="17365D"/>
            <w:tcMar>
              <w:top w:w="100" w:type="dxa"/>
              <w:left w:w="120" w:type="dxa"/>
              <w:bottom w:w="100" w:type="dxa"/>
              <w:right w:w="120" w:type="dxa"/>
            </w:tcMar>
            <w:vAlign w:val="center"/>
          </w:tcPr>
          <w:p>
            <w:pPr>
              <w:keepNext/>
            </w:pPr>
            <w:r>
              <w:rPr>
                <w:rFonts w:ascii="Aptos" w:hAnsi="Aptos"/>
                <w:b/>
                <w:color w:val="FFFFFF"/>
                <w:sz w:val="19"/>
              </w:rPr>
              <w:t>Addition</w:t>
            </w:r>
          </w:p>
        </w:tc>
        <w:tc>
          <w:tcPr>
            <w:tcW w:type="dxa" w:w="7344"/>
            <w:shd w:fill="17365D"/>
            <w:tcMar>
              <w:top w:w="100" w:type="dxa"/>
              <w:left w:w="120" w:type="dxa"/>
              <w:bottom w:w="100" w:type="dxa"/>
              <w:right w:w="120" w:type="dxa"/>
            </w:tcMar>
            <w:vAlign w:val="center"/>
          </w:tcPr>
          <w:p>
            <w:pPr>
              <w:keepNext/>
            </w:pPr>
            <w:r>
              <w:rPr>
                <w:rFonts w:ascii="Aptos" w:hAnsi="Aptos"/>
                <w:b/>
                <w:color w:val="FFFFFF"/>
                <w:sz w:val="19"/>
              </w:rPr>
              <w:t>Recommendation</w:t>
            </w:r>
          </w:p>
        </w:tc>
      </w:tr>
      <w:tr>
        <w:trPr>
          <w:cantSplit/>
        </w:trPr>
        <w:tc>
          <w:tcPr>
            <w:tcW w:type="dxa" w:w="2952"/>
            <w:shd w:fill="F4F8FC"/>
            <w:tcMar>
              <w:top w:w="90" w:type="dxa"/>
              <w:left w:w="120" w:type="dxa"/>
              <w:bottom w:w="90" w:type="dxa"/>
              <w:right w:w="120" w:type="dxa"/>
            </w:tcMar>
            <w:vAlign w:val="top"/>
          </w:tcPr>
          <w:p>
            <w:pPr>
              <w:spacing w:after="0"/>
            </w:pPr>
            <w:r>
              <w:rPr>
                <w:rFonts w:ascii="Aptos" w:hAnsi="Aptos"/>
                <w:sz w:val="18"/>
              </w:rPr>
              <w:t>Device and runtime telemetry</w:t>
            </w:r>
          </w:p>
        </w:tc>
        <w:tc>
          <w:tcPr>
            <w:tcW w:type="dxa" w:w="7344"/>
            <w:shd w:fill="F4F8FC"/>
            <w:tcMar>
              <w:top w:w="90" w:type="dxa"/>
              <w:left w:w="120" w:type="dxa"/>
              <w:bottom w:w="90" w:type="dxa"/>
              <w:right w:w="120" w:type="dxa"/>
            </w:tcMar>
            <w:vAlign w:val="top"/>
          </w:tcPr>
          <w:p>
            <w:pPr>
              <w:spacing w:after="0"/>
            </w:pPr>
            <w:r>
              <w:rPr>
                <w:rFonts w:ascii="Aptos" w:hAnsi="Aptos"/>
                <w:sz w:val="18"/>
              </w:rPr>
              <w:t>Include later as an optional evidence source. It improves reachability and incident analysis but is not required for the core product.</w:t>
            </w:r>
          </w:p>
        </w:tc>
      </w:tr>
      <w:tr>
        <w:trPr>
          <w:cantSplit/>
        </w:trPr>
        <w:tc>
          <w:tcPr>
            <w:tcW w:type="dxa" w:w="2952"/>
            <w:shd w:fill="FFFFFF"/>
            <w:tcMar>
              <w:top w:w="90" w:type="dxa"/>
              <w:left w:w="120" w:type="dxa"/>
              <w:bottom w:w="90" w:type="dxa"/>
              <w:right w:w="120" w:type="dxa"/>
            </w:tcMar>
            <w:vAlign w:val="top"/>
          </w:tcPr>
          <w:p>
            <w:pPr>
              <w:spacing w:after="0"/>
            </w:pPr>
            <w:r>
              <w:rPr>
                <w:rFonts w:ascii="Aptos" w:hAnsi="Aptos"/>
                <w:sz w:val="18"/>
              </w:rPr>
              <w:t>Qualified electronic seals and managed HSM or KMS</w:t>
            </w:r>
          </w:p>
        </w:tc>
        <w:tc>
          <w:tcPr>
            <w:tcW w:type="dxa" w:w="7344"/>
            <w:shd w:fill="FFFFFF"/>
            <w:tcMar>
              <w:top w:w="90" w:type="dxa"/>
              <w:left w:w="120" w:type="dxa"/>
              <w:bottom w:w="90" w:type="dxa"/>
              <w:right w:w="120" w:type="dxa"/>
            </w:tcMar>
            <w:vAlign w:val="top"/>
          </w:tcPr>
          <w:p>
            <w:pPr>
              <w:spacing w:after="0"/>
            </w:pPr>
            <w:r>
              <w:rPr>
                <w:rFonts w:ascii="Aptos" w:hAnsi="Aptos"/>
                <w:sz w:val="18"/>
              </w:rPr>
              <w:t>Include for enterprise evidence assurance after the basic external trust model is stable.</w:t>
            </w:r>
          </w:p>
        </w:tc>
      </w:tr>
      <w:tr>
        <w:trPr>
          <w:cantSplit/>
        </w:trPr>
        <w:tc>
          <w:tcPr>
            <w:tcW w:type="dxa" w:w="2952"/>
            <w:shd w:fill="F4F8FC"/>
            <w:tcMar>
              <w:top w:w="90" w:type="dxa"/>
              <w:left w:w="120" w:type="dxa"/>
              <w:bottom w:w="90" w:type="dxa"/>
              <w:right w:w="120" w:type="dxa"/>
            </w:tcMar>
            <w:vAlign w:val="top"/>
          </w:tcPr>
          <w:p>
            <w:pPr>
              <w:spacing w:after="0"/>
            </w:pPr>
            <w:r>
              <w:rPr>
                <w:rFonts w:ascii="Aptos" w:hAnsi="Aptos"/>
                <w:sz w:val="18"/>
              </w:rPr>
              <w:t>Official ENISA API connector</w:t>
            </w:r>
          </w:p>
        </w:tc>
        <w:tc>
          <w:tcPr>
            <w:tcW w:type="dxa" w:w="7344"/>
            <w:shd w:fill="F4F8FC"/>
            <w:tcMar>
              <w:top w:w="90" w:type="dxa"/>
              <w:left w:w="120" w:type="dxa"/>
              <w:bottom w:w="90" w:type="dxa"/>
              <w:right w:w="120" w:type="dxa"/>
            </w:tcMar>
            <w:vAlign w:val="top"/>
          </w:tcPr>
          <w:p>
            <w:pPr>
              <w:spacing w:after="0"/>
            </w:pPr>
            <w:r>
              <w:rPr>
                <w:rFonts w:ascii="Aptos" w:hAnsi="Aptos"/>
                <w:sz w:val="18"/>
              </w:rPr>
              <w:t>Add when ENISA publishes a supported API; managed portal filing covers launch.</w:t>
            </w:r>
          </w:p>
        </w:tc>
      </w:tr>
      <w:tr>
        <w:trPr>
          <w:cantSplit/>
        </w:trPr>
        <w:tc>
          <w:tcPr>
            <w:tcW w:type="dxa" w:w="2952"/>
            <w:shd w:fill="FFFFFF"/>
            <w:tcMar>
              <w:top w:w="90" w:type="dxa"/>
              <w:left w:w="120" w:type="dxa"/>
              <w:bottom w:w="90" w:type="dxa"/>
              <w:right w:w="120" w:type="dxa"/>
            </w:tcMar>
            <w:vAlign w:val="top"/>
          </w:tcPr>
          <w:p>
            <w:pPr>
              <w:spacing w:after="0"/>
            </w:pPr>
            <w:r>
              <w:rPr>
                <w:rFonts w:ascii="Aptos" w:hAnsi="Aptos"/>
                <w:sz w:val="18"/>
              </w:rPr>
              <w:t>Additional routing automation</w:t>
            </w:r>
          </w:p>
        </w:tc>
        <w:tc>
          <w:tcPr>
            <w:tcW w:type="dxa" w:w="7344"/>
            <w:shd w:fill="FFFFFF"/>
            <w:tcMar>
              <w:top w:w="90" w:type="dxa"/>
              <w:left w:w="120" w:type="dxa"/>
              <w:bottom w:w="90" w:type="dxa"/>
              <w:right w:w="120" w:type="dxa"/>
            </w:tcMar>
            <w:vAlign w:val="top"/>
          </w:tcPr>
          <w:p>
            <w:pPr>
              <w:spacing w:after="0"/>
            </w:pPr>
            <w:r>
              <w:rPr>
                <w:rFonts w:ascii="Aptos" w:hAnsi="Aptos"/>
                <w:sz w:val="18"/>
              </w:rPr>
              <w:t>Add when official routing interfaces exist. Until then, the managed filer selects and records the correct CSIRT.</w:t>
            </w:r>
          </w:p>
        </w:tc>
      </w:tr>
      <w:tr>
        <w:trPr>
          <w:cantSplit/>
        </w:trPr>
        <w:tc>
          <w:tcPr>
            <w:tcW w:type="dxa" w:w="2952"/>
            <w:shd w:fill="F4F8FC"/>
            <w:tcMar>
              <w:top w:w="90" w:type="dxa"/>
              <w:left w:w="120" w:type="dxa"/>
              <w:bottom w:w="90" w:type="dxa"/>
              <w:right w:w="120" w:type="dxa"/>
            </w:tcMar>
            <w:vAlign w:val="top"/>
          </w:tcPr>
          <w:p>
            <w:pPr>
              <w:spacing w:after="0"/>
            </w:pPr>
            <w:r>
              <w:rPr>
                <w:rFonts w:ascii="Aptos" w:hAnsi="Aptos"/>
                <w:sz w:val="18"/>
              </w:rPr>
              <w:t>Auditor portal</w:t>
            </w:r>
          </w:p>
        </w:tc>
        <w:tc>
          <w:tcPr>
            <w:tcW w:type="dxa" w:w="7344"/>
            <w:shd w:fill="F4F8FC"/>
            <w:tcMar>
              <w:top w:w="90" w:type="dxa"/>
              <w:left w:w="120" w:type="dxa"/>
              <w:bottom w:w="90" w:type="dxa"/>
              <w:right w:w="120" w:type="dxa"/>
            </w:tcMar>
            <w:vAlign w:val="top"/>
          </w:tcPr>
          <w:p>
            <w:pPr>
              <w:spacing w:after="0"/>
            </w:pPr>
            <w:r>
              <w:rPr>
                <w:rFonts w:ascii="Aptos" w:hAnsi="Aptos"/>
                <w:sz w:val="18"/>
              </w:rPr>
              <w:t>Useful as a read only view of selected evidence, but not necessary for the main manufacturer workflow.</w:t>
            </w:r>
          </w:p>
        </w:tc>
      </w:tr>
      <w:tr>
        <w:trPr>
          <w:cantSplit/>
        </w:trPr>
        <w:tc>
          <w:tcPr>
            <w:tcW w:type="dxa" w:w="2952"/>
            <w:shd w:fill="FFFFFF"/>
            <w:tcMar>
              <w:top w:w="90" w:type="dxa"/>
              <w:left w:w="120" w:type="dxa"/>
              <w:bottom w:w="90" w:type="dxa"/>
              <w:right w:w="120" w:type="dxa"/>
            </w:tcMar>
            <w:vAlign w:val="top"/>
          </w:tcPr>
          <w:p>
            <w:pPr>
              <w:spacing w:after="0"/>
            </w:pPr>
            <w:r>
              <w:rPr>
                <w:rFonts w:ascii="Aptos" w:hAnsi="Aptos"/>
                <w:sz w:val="18"/>
              </w:rPr>
              <w:t>Developer ecosystem integrations</w:t>
            </w:r>
          </w:p>
        </w:tc>
        <w:tc>
          <w:tcPr>
            <w:tcW w:type="dxa" w:w="7344"/>
            <w:shd w:fill="FFFFFF"/>
            <w:tcMar>
              <w:top w:w="90" w:type="dxa"/>
              <w:left w:w="120" w:type="dxa"/>
              <w:bottom w:w="90" w:type="dxa"/>
              <w:right w:w="120" w:type="dxa"/>
            </w:tcMar>
            <w:vAlign w:val="top"/>
          </w:tcPr>
          <w:p>
            <w:pPr>
              <w:spacing w:after="0"/>
            </w:pPr>
            <w:r>
              <w:rPr>
                <w:rFonts w:ascii="Aptos" w:hAnsi="Aptos"/>
                <w:sz w:val="18"/>
              </w:rPr>
              <w:t>Add for adoption after the central records and decisions are reliable.</w:t>
            </w:r>
          </w:p>
        </w:tc>
      </w:tr>
      <w:tr>
        <w:trPr>
          <w:cantSplit/>
        </w:trPr>
        <w:tc>
          <w:tcPr>
            <w:tcW w:type="dxa" w:w="2952"/>
            <w:shd w:fill="F4F8FC"/>
            <w:tcMar>
              <w:top w:w="90" w:type="dxa"/>
              <w:left w:w="120" w:type="dxa"/>
              <w:bottom w:w="90" w:type="dxa"/>
              <w:right w:w="120" w:type="dxa"/>
            </w:tcMar>
            <w:vAlign w:val="top"/>
          </w:tcPr>
          <w:p>
            <w:pPr>
              <w:spacing w:after="0"/>
            </w:pPr>
            <w:r>
              <w:rPr>
                <w:rFonts w:ascii="Aptos" w:hAnsi="Aptos"/>
                <w:sz w:val="18"/>
              </w:rPr>
              <w:t>Analytics and fleet views</w:t>
            </w:r>
          </w:p>
        </w:tc>
        <w:tc>
          <w:tcPr>
            <w:tcW w:type="dxa" w:w="7344"/>
            <w:shd w:fill="F4F8FC"/>
            <w:tcMar>
              <w:top w:w="90" w:type="dxa"/>
              <w:left w:w="120" w:type="dxa"/>
              <w:bottom w:w="90" w:type="dxa"/>
              <w:right w:w="120" w:type="dxa"/>
            </w:tcMar>
            <w:vAlign w:val="top"/>
          </w:tcPr>
          <w:p>
            <w:pPr>
              <w:spacing w:after="0"/>
            </w:pPr>
            <w:r>
              <w:rPr>
                <w:rFonts w:ascii="Aptos" w:hAnsi="Aptos"/>
                <w:sz w:val="18"/>
              </w:rPr>
              <w:t>Add after product and release records are in place; avoid letting aggregate dashboards hide incomplete evidence.</w:t>
            </w:r>
          </w:p>
        </w:tc>
      </w:tr>
      <w:tr>
        <w:trPr>
          <w:cantSplit/>
        </w:trPr>
        <w:tc>
          <w:tcPr>
            <w:tcW w:type="dxa" w:w="2952"/>
            <w:shd w:fill="FFFFFF"/>
            <w:tcMar>
              <w:top w:w="90" w:type="dxa"/>
              <w:left w:w="120" w:type="dxa"/>
              <w:bottom w:w="90" w:type="dxa"/>
              <w:right w:w="120" w:type="dxa"/>
            </w:tcMar>
            <w:vAlign w:val="top"/>
          </w:tcPr>
          <w:p>
            <w:pPr>
              <w:spacing w:after="0"/>
            </w:pPr>
            <w:r>
              <w:rPr>
                <w:rFonts w:ascii="Aptos" w:hAnsi="Aptos"/>
                <w:sz w:val="18"/>
              </w:rPr>
              <w:t>Billing and commercial packaging</w:t>
            </w:r>
          </w:p>
        </w:tc>
        <w:tc>
          <w:tcPr>
            <w:tcW w:type="dxa" w:w="7344"/>
            <w:shd w:fill="FFFFFF"/>
            <w:tcMar>
              <w:top w:w="90" w:type="dxa"/>
              <w:left w:w="120" w:type="dxa"/>
              <w:bottom w:w="90" w:type="dxa"/>
              <w:right w:w="120" w:type="dxa"/>
            </w:tcMar>
            <w:vAlign w:val="top"/>
          </w:tcPr>
          <w:p>
            <w:pPr>
              <w:spacing w:after="0"/>
            </w:pPr>
            <w:r>
              <w:rPr>
                <w:rFonts w:ascii="Aptos" w:hAnsi="Aptos"/>
                <w:sz w:val="18"/>
              </w:rPr>
              <w:t>Keep outside this product API specification.</w:t>
            </w:r>
          </w:p>
        </w:tc>
      </w:tr>
    </w:tbl>
    <w:p>
      <w:pPr>
        <w:widowControl/>
        <w:spacing w:after="20"/>
      </w:pPr>
    </w:p>
    <w:p>
      <w:pPr>
        <w:pStyle w:val="Heading1"/>
        <w:widowControl/>
      </w:pPr>
      <w:r>
        <w:t>15 Example journeys</w:t>
      </w:r>
    </w:p>
    <w:p>
      <w:pPr>
        <w:pStyle w:val="Heading2"/>
        <w:widowControl/>
      </w:pPr>
      <w:r>
        <w:t>Analyze a new release</w:t>
      </w:r>
    </w:p>
    <w:p>
      <w:pPr>
        <w:widowControl/>
        <w:spacing w:after="60"/>
        <w:ind w:left="317" w:hanging="317"/>
      </w:pPr>
      <w:r>
        <w:rPr>
          <w:rFonts w:ascii="Aptos" w:hAnsi="Aptos"/>
          <w:sz w:val="21"/>
        </w:rPr>
        <w:t xml:space="preserve">1.  </w:t>
      </w:r>
      <w:r>
        <w:t>Create or find the product and register the release.</w:t>
      </w:r>
    </w:p>
    <w:p>
      <w:pPr>
        <w:widowControl/>
        <w:spacing w:after="60"/>
        <w:ind w:left="317" w:hanging="317"/>
      </w:pPr>
      <w:r>
        <w:rPr>
          <w:rFonts w:ascii="Aptos" w:hAnsi="Aptos"/>
          <w:sz w:val="21"/>
        </w:rPr>
        <w:t xml:space="preserve">2.  </w:t>
      </w:r>
      <w:r>
        <w:t>Upload the release artifact or software bill of materials.</w:t>
      </w:r>
    </w:p>
    <w:p>
      <w:pPr>
        <w:widowControl/>
        <w:spacing w:after="60"/>
        <w:ind w:left="317" w:hanging="317"/>
      </w:pPr>
      <w:r>
        <w:rPr>
          <w:rFonts w:ascii="Aptos" w:hAnsi="Aptos"/>
          <w:sz w:val="21"/>
        </w:rPr>
        <w:t xml:space="preserve">3.  </w:t>
      </w:r>
      <w:r>
        <w:t>Start a scan and wait for the job to finish.</w:t>
      </w:r>
    </w:p>
    <w:p>
      <w:pPr>
        <w:widowControl/>
        <w:spacing w:after="60"/>
        <w:ind w:left="317" w:hanging="317"/>
      </w:pPr>
      <w:r>
        <w:rPr>
          <w:rFonts w:ascii="Aptos" w:hAnsi="Aptos"/>
          <w:sz w:val="21"/>
        </w:rPr>
        <w:t xml:space="preserve">4.  </w:t>
      </w:r>
      <w:r>
        <w:t>Review the coverage assessment before interpreting the findings.</w:t>
      </w:r>
    </w:p>
    <w:p>
      <w:pPr>
        <w:widowControl/>
        <w:spacing w:after="60"/>
        <w:ind w:left="317" w:hanging="317"/>
      </w:pPr>
      <w:r>
        <w:rPr>
          <w:rFonts w:ascii="Aptos" w:hAnsi="Aptos"/>
          <w:sz w:val="21"/>
        </w:rPr>
        <w:t xml:space="preserve">5.  </w:t>
      </w:r>
      <w:r>
        <w:t>Record decisions for important findings and attach supporting evidence.</w:t>
      </w:r>
    </w:p>
    <w:p>
      <w:pPr>
        <w:widowControl/>
        <w:spacing w:after="60"/>
        <w:ind w:left="317" w:hanging="317"/>
      </w:pPr>
      <w:r>
        <w:rPr>
          <w:rFonts w:ascii="Aptos" w:hAnsi="Aptos"/>
          <w:sz w:val="21"/>
        </w:rPr>
        <w:t xml:space="preserve">6.  </w:t>
      </w:r>
      <w:r>
        <w:t>Generate a VEX statement or conformity document only from approved decisions.</w:t>
      </w:r>
    </w:p>
    <w:p>
      <w:pPr>
        <w:pStyle w:val="APIExample"/>
        <w:widowControl/>
      </w:pPr>
      <w:r>
        <w:t>POST /v1/products/{product_id}/releases</w:t>
        <w:br/>
        <w:t>POST /v1/releases/{release_id}/artifacts</w:t>
        <w:br/>
        <w:t>POST /v1/releases/{release_id}/scans</w:t>
        <w:br/>
        <w:t>GET  /v1/scans/{scan_id}</w:t>
        <w:br/>
        <w:t>POST /v1/findings/{finding_id}/decisions</w:t>
      </w:r>
    </w:p>
    <w:p>
      <w:pPr>
        <w:pStyle w:val="Heading2"/>
        <w:widowControl/>
      </w:pPr>
      <w:r>
        <w:t>Manage an actively exploited vulnerability</w:t>
      </w:r>
    </w:p>
    <w:p>
      <w:pPr>
        <w:widowControl/>
        <w:spacing w:after="60"/>
        <w:ind w:left="317" w:hanging="317"/>
      </w:pPr>
      <w:r>
        <w:rPr>
          <w:rFonts w:ascii="Aptos" w:hAnsi="Aptos"/>
          <w:sz w:val="21"/>
        </w:rPr>
        <w:t xml:space="preserve">1.  </w:t>
      </w:r>
      <w:r>
        <w:t>A scan or monitoring run creates a high priority finding.</w:t>
      </w:r>
    </w:p>
    <w:p>
      <w:pPr>
        <w:widowControl/>
        <w:spacing w:after="60"/>
        <w:ind w:left="317" w:hanging="317"/>
      </w:pPr>
      <w:r>
        <w:t>2.  An authorized reviewer at the customer company confirms the match and investigates whether the release is affected.</w:t>
      </w:r>
    </w:p>
    <w:p>
      <w:pPr>
        <w:widowControl/>
        <w:spacing w:after="60"/>
        <w:ind w:left="317" w:hanging="317"/>
      </w:pPr>
      <w:r>
        <w:rPr>
          <w:rFonts w:ascii="Aptos" w:hAnsi="Aptos"/>
          <w:sz w:val="21"/>
        </w:rPr>
        <w:t xml:space="preserve">3.  </w:t>
      </w:r>
      <w:r>
        <w:t>Open or reuse a regulatory case. Record awareness only when the manufacturer is actually aware.</w:t>
      </w:r>
    </w:p>
    <w:p>
      <w:pPr>
        <w:widowControl/>
        <w:spacing w:after="60"/>
        <w:ind w:left="317" w:hanging="317"/>
      </w:pPr>
      <w:r>
        <w:rPr>
          <w:rFonts w:ascii="Aptos" w:hAnsi="Aptos"/>
          <w:sz w:val="21"/>
        </w:rPr>
        <w:t xml:space="preserve">4.  </w:t>
      </w:r>
      <w:r>
        <w:t>Prepare, validate, and approve the 24 hour and 72 hour report revisions.</w:t>
      </w:r>
    </w:p>
    <w:p>
      <w:pPr>
        <w:widowControl/>
        <w:spacing w:after="60"/>
        <w:ind w:left="317" w:hanging="317"/>
      </w:pPr>
      <w:r>
        <w:rPr>
          <w:rFonts w:ascii="Aptos" w:hAnsi="Aptos"/>
          <w:sz w:val="21"/>
        </w:rPr>
        <w:t>5.  After company approval, a named PandaX Assigned Representative submits the report through the official portal and PandaX records the attempt and receipt.</w:t>
      </w:r>
      <w:r/>
    </w:p>
    <w:p>
      <w:pPr>
        <w:widowControl/>
        <w:spacing w:after="60"/>
        <w:ind w:left="317" w:hanging="317"/>
      </w:pPr>
      <w:r>
        <w:t>6.  When a corrective or mitigating measure is available, an authorized user from the customer company confirms it. PandaX starts the fourteen day final report clock.</w:t>
      </w:r>
    </w:p>
    <w:p>
      <w:pPr>
        <w:widowControl/>
        <w:spacing w:after="60"/>
        <w:ind w:left="317" w:hanging="317"/>
      </w:pPr>
      <w:r>
        <w:rPr>
          <w:rFonts w:ascii="Aptos" w:hAnsi="Aptos"/>
          <w:sz w:val="21"/>
        </w:rPr>
        <w:t>7.  Prepare and approve the final report, have PandaX file it through the managed submission service, record the official receipt, and close the case with retained evidence.</w:t>
      </w:r>
      <w:r/>
    </w:p>
    <w:p>
      <w:pPr>
        <w:pStyle w:val="Heading2"/>
        <w:widowControl/>
      </w:pPr>
      <w:r>
        <w:t>Handle a submission problem</w:t>
      </w:r>
    </w:p>
    <w:p>
      <w:pPr>
        <w:widowControl/>
        <w:spacing w:after="60"/>
        <w:ind w:left="317" w:hanging="317"/>
      </w:pPr>
      <w:r>
        <w:rPr>
          <w:rFonts w:ascii="Aptos" w:hAnsi="Aptos"/>
          <w:sz w:val="21"/>
        </w:rPr>
        <w:t xml:space="preserve">1.  </w:t>
      </w:r>
      <w:r>
        <w:t>Record the failed attempt with the time, authority, channel, exact report revision, and error evidence.</w:t>
      </w:r>
    </w:p>
    <w:p>
      <w:pPr>
        <w:widowControl/>
        <w:spacing w:after="60"/>
        <w:ind w:left="317" w:hanging="317"/>
      </w:pPr>
      <w:r>
        <w:rPr>
          <w:rFonts w:ascii="Aptos" w:hAnsi="Aptos"/>
          <w:sz w:val="21"/>
        </w:rPr>
        <w:t xml:space="preserve">2.  </w:t>
      </w:r>
      <w:r>
        <w:t>Keep the deadline visible and alert the case owner and escalation contact.</w:t>
      </w:r>
    </w:p>
    <w:p>
      <w:pPr>
        <w:widowControl/>
        <w:spacing w:after="60"/>
        <w:ind w:left="317" w:hanging="317"/>
      </w:pPr>
      <w:r>
        <w:rPr>
          <w:rFonts w:ascii="Aptos" w:hAnsi="Aptos"/>
          <w:sz w:val="21"/>
        </w:rPr>
        <w:t xml:space="preserve">3.  </w:t>
      </w:r>
      <w:r>
        <w:t>Correct the issue without changing the already approved revision silently.</w:t>
      </w:r>
    </w:p>
    <w:p>
      <w:pPr>
        <w:widowControl/>
        <w:spacing w:after="60"/>
        <w:ind w:left="317" w:hanging="317"/>
      </w:pPr>
      <w:r>
        <w:rPr>
          <w:rFonts w:ascii="Aptos" w:hAnsi="Aptos"/>
          <w:sz w:val="21"/>
        </w:rPr>
        <w:t xml:space="preserve">4.  </w:t>
      </w:r>
      <w:r>
        <w:t>Approve a new revision if content changed, retry, and attach the official receipt.</w:t>
      </w:r>
    </w:p>
    <w:p>
      <w:pPr>
        <w:pStyle w:val="Heading1"/>
        <w:widowControl/>
      </w:pPr>
      <w:r>
        <w:t>16 Current build roadmap and final API comparison</w:t>
      </w:r>
    </w:p>
    <w:p>
      <w:pPr>
        <w:widowControl/>
      </w:pPr>
      <w:r>
        <w:t>This section records how the final direction was chosen from the updated code and the PandaX Tech board reviewed on 8 September 2026.</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728"/>
            <w:shd w:fill="17365D"/>
            <w:tcMar>
              <w:top w:w="70" w:type="dxa"/>
              <w:left w:w="120" w:type="dxa"/>
              <w:bottom w:w="70" w:type="dxa"/>
              <w:right w:w="120" w:type="dxa"/>
            </w:tcMar>
            <w:vAlign w:val="center"/>
          </w:tcPr>
          <w:p>
            <w:pPr>
              <w:keepNext/>
            </w:pPr>
            <w:r>
              <w:rPr>
                <w:rFonts w:ascii="Aptos" w:hAnsi="Aptos"/>
                <w:b/>
                <w:color w:val="FFFFFF"/>
                <w:sz w:val="17"/>
              </w:rPr>
              <w:t>Area</w:t>
            </w:r>
          </w:p>
        </w:tc>
        <w:tc>
          <w:tcPr>
            <w:tcW w:type="dxa" w:w="2520"/>
            <w:shd w:fill="17365D"/>
            <w:tcMar>
              <w:top w:w="70" w:type="dxa"/>
              <w:left w:w="120" w:type="dxa"/>
              <w:bottom w:w="70" w:type="dxa"/>
              <w:right w:w="120" w:type="dxa"/>
            </w:tcMar>
            <w:vAlign w:val="center"/>
          </w:tcPr>
          <w:p>
            <w:pPr>
              <w:keepNext/>
            </w:pPr>
            <w:r>
              <w:rPr>
                <w:rFonts w:ascii="Aptos" w:hAnsi="Aptos"/>
                <w:b/>
                <w:color w:val="FFFFFF"/>
                <w:sz w:val="17"/>
              </w:rPr>
              <w:t>Updated code</w:t>
            </w:r>
          </w:p>
        </w:tc>
        <w:tc>
          <w:tcPr>
            <w:tcW w:type="dxa" w:w="2664"/>
            <w:shd w:fill="17365D"/>
            <w:tcMar>
              <w:top w:w="70" w:type="dxa"/>
              <w:left w:w="120" w:type="dxa"/>
              <w:bottom w:w="70" w:type="dxa"/>
              <w:right w:w="120" w:type="dxa"/>
            </w:tcMar>
            <w:vAlign w:val="center"/>
          </w:tcPr>
          <w:p>
            <w:pPr>
              <w:keepNext/>
            </w:pPr>
            <w:r>
              <w:rPr>
                <w:rFonts w:ascii="Aptos" w:hAnsi="Aptos"/>
                <w:b/>
                <w:color w:val="FFFFFF"/>
                <w:sz w:val="17"/>
              </w:rPr>
              <w:t>Roadmap</w:t>
            </w:r>
          </w:p>
        </w:tc>
        <w:tc>
          <w:tcPr>
            <w:tcW w:type="dxa" w:w="3384"/>
            <w:shd w:fill="17365D"/>
            <w:tcMar>
              <w:top w:w="70" w:type="dxa"/>
              <w:left w:w="120" w:type="dxa"/>
              <w:bottom w:w="70" w:type="dxa"/>
              <w:right w:w="120" w:type="dxa"/>
            </w:tcMar>
            <w:vAlign w:val="center"/>
          </w:tcPr>
          <w:p>
            <w:pPr>
              <w:keepNext/>
            </w:pPr>
            <w:r>
              <w:rPr>
                <w:rFonts w:ascii="Aptos" w:hAnsi="Aptos"/>
                <w:b/>
                <w:color w:val="FFFFFF"/>
                <w:sz w:val="17"/>
              </w:rPr>
              <w:t>Final API decision</w:t>
            </w:r>
          </w:p>
        </w:tc>
      </w:tr>
      <w:tr>
        <w:trPr>
          <w:cantSplit/>
        </w:trPr>
        <w:tc>
          <w:tcPr>
            <w:tcW w:type="dxa" w:w="1728"/>
            <w:shd w:fill="F4F8FC"/>
            <w:tcMar>
              <w:top w:w="60" w:type="dxa"/>
              <w:left w:w="120" w:type="dxa"/>
              <w:bottom w:w="60" w:type="dxa"/>
              <w:right w:w="120" w:type="dxa"/>
            </w:tcMar>
            <w:vAlign w:val="top"/>
          </w:tcPr>
          <w:p>
            <w:pPr>
              <w:spacing w:after="0"/>
            </w:pPr>
            <w:r>
              <w:rPr>
                <w:rFonts w:ascii="Aptos" w:hAnsi="Aptos"/>
                <w:sz w:val="16"/>
              </w:rPr>
              <w:t>Cases and history</w:t>
            </w:r>
          </w:p>
        </w:tc>
        <w:tc>
          <w:tcPr>
            <w:tcW w:type="dxa" w:w="2520"/>
            <w:shd w:fill="F4F8FC"/>
            <w:tcMar>
              <w:top w:w="60" w:type="dxa"/>
              <w:left w:w="120" w:type="dxa"/>
              <w:bottom w:w="60" w:type="dxa"/>
              <w:right w:w="120" w:type="dxa"/>
            </w:tcMar>
            <w:vAlign w:val="top"/>
          </w:tcPr>
          <w:p>
            <w:pPr>
              <w:spacing w:after="0"/>
            </w:pPr>
            <w:r>
              <w:rPr>
                <w:rFonts w:ascii="Aptos" w:hAnsi="Aptos"/>
                <w:sz w:val="16"/>
              </w:rPr>
              <w:t>Implemented locally with durable cases, events, and report revisions</w:t>
            </w:r>
          </w:p>
        </w:tc>
        <w:tc>
          <w:tcPr>
            <w:tcW w:type="dxa" w:w="2664"/>
            <w:shd w:fill="F4F8FC"/>
            <w:tcMar>
              <w:top w:w="60" w:type="dxa"/>
              <w:left w:w="120" w:type="dxa"/>
              <w:bottom w:w="60" w:type="dxa"/>
              <w:right w:w="120" w:type="dxa"/>
            </w:tcMar>
            <w:vAlign w:val="top"/>
          </w:tcPr>
          <w:p>
            <w:pPr>
              <w:spacing w:after="0"/>
            </w:pPr>
            <w:r>
              <w:rPr>
                <w:rFonts w:ascii="Aptos" w:hAnsi="Aptos"/>
                <w:sz w:val="16"/>
              </w:rPr>
              <w:t>Calls for persistent cases, revisions, and approvals</w:t>
            </w:r>
          </w:p>
        </w:tc>
        <w:tc>
          <w:tcPr>
            <w:tcW w:type="dxa" w:w="3384"/>
            <w:shd w:fill="F4F8FC"/>
            <w:tcMar>
              <w:top w:w="60" w:type="dxa"/>
              <w:left w:w="120" w:type="dxa"/>
              <w:bottom w:w="60" w:type="dxa"/>
              <w:right w:w="120" w:type="dxa"/>
            </w:tcMar>
            <w:vAlign w:val="top"/>
          </w:tcPr>
          <w:p>
            <w:pPr>
              <w:spacing w:after="0"/>
            </w:pPr>
            <w:r>
              <w:rPr>
                <w:rFonts w:ascii="Aptos" w:hAnsi="Aptos"/>
                <w:sz w:val="16"/>
              </w:rPr>
              <w:t>Keep as a core model and extend it beyond remediation only</w:t>
            </w:r>
          </w:p>
        </w:tc>
      </w:tr>
      <w:tr>
        <w:trPr>
          <w:cantSplit/>
        </w:trPr>
        <w:tc>
          <w:tcPr>
            <w:tcW w:type="dxa" w:w="1728"/>
            <w:shd w:fill="FFFFFF"/>
            <w:tcMar>
              <w:top w:w="60" w:type="dxa"/>
              <w:left w:w="120" w:type="dxa"/>
              <w:bottom w:w="60" w:type="dxa"/>
              <w:right w:w="120" w:type="dxa"/>
            </w:tcMar>
            <w:vAlign w:val="top"/>
          </w:tcPr>
          <w:p>
            <w:pPr>
              <w:spacing w:after="0"/>
            </w:pPr>
            <w:r>
              <w:rPr>
                <w:rFonts w:ascii="Aptos" w:hAnsi="Aptos"/>
                <w:sz w:val="16"/>
              </w:rPr>
              <w:t>Measure confirmation</w:t>
            </w:r>
          </w:p>
        </w:tc>
        <w:tc>
          <w:tcPr>
            <w:tcW w:type="dxa" w:w="2520"/>
            <w:shd w:fill="FFFFFF"/>
            <w:tcMar>
              <w:top w:w="60" w:type="dxa"/>
              <w:left w:w="120" w:type="dxa"/>
              <w:bottom w:w="60" w:type="dxa"/>
              <w:right w:w="120" w:type="dxa"/>
            </w:tcMar>
            <w:vAlign w:val="top"/>
          </w:tcPr>
          <w:p>
            <w:pPr>
              <w:spacing w:after="0"/>
            </w:pPr>
            <w:r>
              <w:rPr>
                <w:rFonts w:ascii="Aptos" w:hAnsi="Aptos"/>
                <w:sz w:val="16"/>
              </w:rPr>
              <w:t>Candidate fixed releases require a named operator and authority attestation</w:t>
            </w:r>
          </w:p>
        </w:tc>
        <w:tc>
          <w:tcPr>
            <w:tcW w:type="dxa" w:w="2664"/>
            <w:shd w:fill="FFFFFF"/>
            <w:tcMar>
              <w:top w:w="60" w:type="dxa"/>
              <w:left w:w="120" w:type="dxa"/>
              <w:bottom w:w="60" w:type="dxa"/>
              <w:right w:w="120" w:type="dxa"/>
            </w:tcMar>
            <w:vAlign w:val="top"/>
          </w:tcPr>
          <w:p>
            <w:pPr>
              <w:spacing w:after="0"/>
            </w:pPr>
            <w:r>
              <w:rPr>
                <w:rFonts w:ascii="Aptos" w:hAnsi="Aptos"/>
                <w:sz w:val="16"/>
              </w:rPr>
              <w:t>Calls for human approval and clock correctness</w:t>
            </w:r>
          </w:p>
        </w:tc>
        <w:tc>
          <w:tcPr>
            <w:tcW w:type="dxa" w:w="3384"/>
            <w:shd w:fill="FFFFFF"/>
            <w:tcMar>
              <w:top w:w="60" w:type="dxa"/>
              <w:left w:w="120" w:type="dxa"/>
              <w:bottom w:w="60" w:type="dxa"/>
              <w:right w:w="120" w:type="dxa"/>
            </w:tcMar>
            <w:vAlign w:val="top"/>
          </w:tcPr>
          <w:p>
            <w:pPr>
              <w:spacing w:after="0"/>
            </w:pPr>
            <w:r>
              <w:rPr>
                <w:rFonts w:ascii="Aptos" w:hAnsi="Aptos"/>
                <w:sz w:val="16"/>
              </w:rPr>
              <w:t>Keep; represent confirmation as a case measure event</w:t>
            </w:r>
          </w:p>
        </w:tc>
      </w:tr>
      <w:tr>
        <w:trPr>
          <w:cantSplit/>
        </w:trPr>
        <w:tc>
          <w:tcPr>
            <w:tcW w:type="dxa" w:w="1728"/>
            <w:shd w:fill="F4F8FC"/>
            <w:tcMar>
              <w:top w:w="60" w:type="dxa"/>
              <w:left w:w="120" w:type="dxa"/>
              <w:bottom w:w="60" w:type="dxa"/>
              <w:right w:w="120" w:type="dxa"/>
            </w:tcMar>
            <w:vAlign w:val="top"/>
          </w:tcPr>
          <w:p>
            <w:pPr>
              <w:spacing w:after="0"/>
            </w:pPr>
            <w:r>
              <w:rPr>
                <w:rFonts w:ascii="Aptos" w:hAnsi="Aptos"/>
                <w:sz w:val="16"/>
              </w:rPr>
              <w:t>Final report clock</w:t>
            </w:r>
          </w:p>
        </w:tc>
        <w:tc>
          <w:tcPr>
            <w:tcW w:type="dxa" w:w="2520"/>
            <w:shd w:fill="F4F8FC"/>
            <w:tcMar>
              <w:top w:w="60" w:type="dxa"/>
              <w:left w:w="120" w:type="dxa"/>
              <w:bottom w:w="60" w:type="dxa"/>
              <w:right w:w="120" w:type="dxa"/>
            </w:tcMar>
            <w:vAlign w:val="top"/>
          </w:tcPr>
          <w:p>
            <w:pPr>
              <w:spacing w:after="0"/>
            </w:pPr>
            <w:r>
              <w:rPr>
                <w:rFonts w:ascii="Aptos" w:hAnsi="Aptos"/>
                <w:sz w:val="16"/>
              </w:rPr>
              <w:t>Pending until measure availability is confirmed</w:t>
            </w:r>
          </w:p>
        </w:tc>
        <w:tc>
          <w:tcPr>
            <w:tcW w:type="dxa" w:w="2664"/>
            <w:shd w:fill="F4F8FC"/>
            <w:tcMar>
              <w:top w:w="60" w:type="dxa"/>
              <w:left w:w="120" w:type="dxa"/>
              <w:bottom w:w="60" w:type="dxa"/>
              <w:right w:w="120" w:type="dxa"/>
            </w:tcMar>
            <w:vAlign w:val="top"/>
          </w:tcPr>
          <w:p>
            <w:pPr>
              <w:spacing w:after="0"/>
            </w:pPr>
            <w:r>
              <w:rPr>
                <w:rFonts w:ascii="Aptos" w:hAnsi="Aptos"/>
                <w:sz w:val="16"/>
              </w:rPr>
              <w:t>Calls for correct final report timing</w:t>
            </w:r>
          </w:p>
        </w:tc>
        <w:tc>
          <w:tcPr>
            <w:tcW w:type="dxa" w:w="3384"/>
            <w:shd w:fill="F4F8FC"/>
            <w:tcMar>
              <w:top w:w="60" w:type="dxa"/>
              <w:left w:w="120" w:type="dxa"/>
              <w:bottom w:w="60" w:type="dxa"/>
              <w:right w:w="120" w:type="dxa"/>
            </w:tcMar>
            <w:vAlign w:val="top"/>
          </w:tcPr>
          <w:p>
            <w:pPr>
              <w:spacing w:after="0"/>
            </w:pPr>
            <w:r>
              <w:rPr>
                <w:rFonts w:ascii="Aptos" w:hAnsi="Aptos"/>
                <w:sz w:val="16"/>
              </w:rPr>
              <w:t>Keep for actively exploited vulnerabilities; add the separate severe incident rule</w:t>
            </w:r>
          </w:p>
        </w:tc>
      </w:tr>
      <w:tr>
        <w:trPr>
          <w:cantSplit/>
        </w:trPr>
        <w:tc>
          <w:tcPr>
            <w:tcW w:type="dxa" w:w="1728"/>
            <w:shd w:fill="FFFFFF"/>
            <w:tcMar>
              <w:top w:w="60" w:type="dxa"/>
              <w:left w:w="120" w:type="dxa"/>
              <w:bottom w:w="60" w:type="dxa"/>
              <w:right w:w="120" w:type="dxa"/>
            </w:tcMar>
            <w:vAlign w:val="top"/>
          </w:tcPr>
          <w:p>
            <w:pPr>
              <w:spacing w:after="0"/>
            </w:pPr>
            <w:r>
              <w:rPr>
                <w:rFonts w:ascii="Aptos" w:hAnsi="Aptos"/>
                <w:sz w:val="16"/>
              </w:rPr>
              <w:t>Awareness</w:t>
            </w:r>
          </w:p>
        </w:tc>
        <w:tc>
          <w:tcPr>
            <w:tcW w:type="dxa" w:w="2520"/>
            <w:shd w:fill="FFFFFF"/>
            <w:tcMar>
              <w:top w:w="60" w:type="dxa"/>
              <w:left w:w="120" w:type="dxa"/>
              <w:bottom w:w="60" w:type="dxa"/>
              <w:right w:w="120" w:type="dxa"/>
            </w:tcMar>
            <w:vAlign w:val="top"/>
          </w:tcPr>
          <w:p>
            <w:pPr>
              <w:spacing w:after="0"/>
            </w:pPr>
            <w:r>
              <w:rPr>
                <w:rFonts w:ascii="Aptos" w:hAnsi="Aptos"/>
                <w:sz w:val="16"/>
              </w:rPr>
              <w:t>Scan time still drives early reporting behavior in parts of the current workflow</w:t>
            </w:r>
          </w:p>
        </w:tc>
        <w:tc>
          <w:tcPr>
            <w:tcW w:type="dxa" w:w="2664"/>
            <w:shd w:fill="FFFFFF"/>
            <w:tcMar>
              <w:top w:w="60" w:type="dxa"/>
              <w:left w:w="120" w:type="dxa"/>
              <w:bottom w:w="60" w:type="dxa"/>
              <w:right w:w="120" w:type="dxa"/>
            </w:tcMar>
            <w:vAlign w:val="top"/>
          </w:tcPr>
          <w:p>
            <w:pPr>
              <w:spacing w:after="0"/>
            </w:pPr>
            <w:r>
              <w:rPr>
                <w:rFonts w:ascii="Aptos" w:hAnsi="Aptos"/>
                <w:sz w:val="16"/>
              </w:rPr>
              <w:t>Calls for reporting lifecycle accuracy</w:t>
            </w:r>
          </w:p>
        </w:tc>
        <w:tc>
          <w:tcPr>
            <w:tcW w:type="dxa" w:w="3384"/>
            <w:shd w:fill="FFFFFF"/>
            <w:tcMar>
              <w:top w:w="60" w:type="dxa"/>
              <w:left w:w="120" w:type="dxa"/>
              <w:bottom w:w="60" w:type="dxa"/>
              <w:right w:w="120" w:type="dxa"/>
            </w:tcMar>
            <w:vAlign w:val="top"/>
          </w:tcPr>
          <w:p>
            <w:pPr>
              <w:spacing w:after="0"/>
            </w:pPr>
            <w:r>
              <w:rPr>
                <w:rFonts w:ascii="Aptos" w:hAnsi="Aptos"/>
                <w:sz w:val="16"/>
              </w:rPr>
              <w:t>Add an explicit awareness record; never infer it silently</w:t>
            </w:r>
          </w:p>
        </w:tc>
      </w:tr>
      <w:tr>
        <w:trPr>
          <w:cantSplit/>
        </w:trPr>
        <w:tc>
          <w:tcPr>
            <w:tcW w:type="dxa" w:w="1728"/>
            <w:shd w:fill="F4F8FC"/>
            <w:tcMar>
              <w:top w:w="60" w:type="dxa"/>
              <w:left w:w="120" w:type="dxa"/>
              <w:bottom w:w="60" w:type="dxa"/>
              <w:right w:w="120" w:type="dxa"/>
            </w:tcMar>
            <w:vAlign w:val="top"/>
          </w:tcPr>
          <w:p>
            <w:pPr>
              <w:spacing w:after="0"/>
            </w:pPr>
            <w:r>
              <w:rPr>
                <w:rFonts w:ascii="Aptos" w:hAnsi="Aptos"/>
                <w:sz w:val="16"/>
              </w:rPr>
              <w:t>Product and release portfolio</w:t>
            </w:r>
          </w:p>
        </w:tc>
        <w:tc>
          <w:tcPr>
            <w:tcW w:type="dxa" w:w="2520"/>
            <w:shd w:fill="F4F8FC"/>
            <w:tcMar>
              <w:top w:w="60" w:type="dxa"/>
              <w:left w:w="120" w:type="dxa"/>
              <w:bottom w:w="60" w:type="dxa"/>
              <w:right w:w="120" w:type="dxa"/>
            </w:tcMar>
            <w:vAlign w:val="top"/>
          </w:tcPr>
          <w:p>
            <w:pPr>
              <w:spacing w:after="0"/>
            </w:pPr>
            <w:r>
              <w:rPr>
                <w:rFonts w:ascii="Aptos" w:hAnsi="Aptos"/>
                <w:sz w:val="16"/>
              </w:rPr>
              <w:t>Runs are central and product records are not yet persistent</w:t>
            </w:r>
          </w:p>
        </w:tc>
        <w:tc>
          <w:tcPr>
            <w:tcW w:type="dxa" w:w="2664"/>
            <w:shd w:fill="F4F8FC"/>
            <w:tcMar>
              <w:top w:w="60" w:type="dxa"/>
              <w:left w:w="120" w:type="dxa"/>
              <w:bottom w:w="60" w:type="dxa"/>
              <w:right w:w="120" w:type="dxa"/>
            </w:tcMar>
            <w:vAlign w:val="top"/>
          </w:tcPr>
          <w:p>
            <w:pPr>
              <w:spacing w:after="0"/>
            </w:pPr>
            <w:r>
              <w:rPr>
                <w:rFonts w:ascii="Aptos" w:hAnsi="Aptos"/>
                <w:sz w:val="16"/>
              </w:rPr>
              <w:t>Backlog calls for product, release, and fleet management</w:t>
            </w:r>
          </w:p>
        </w:tc>
        <w:tc>
          <w:tcPr>
            <w:tcW w:type="dxa" w:w="3384"/>
            <w:shd w:fill="F4F8FC"/>
            <w:tcMar>
              <w:top w:w="60" w:type="dxa"/>
              <w:left w:w="120" w:type="dxa"/>
              <w:bottom w:w="60" w:type="dxa"/>
              <w:right w:w="120" w:type="dxa"/>
            </w:tcMar>
            <w:vAlign w:val="top"/>
          </w:tcPr>
          <w:p>
            <w:pPr>
              <w:spacing w:after="0"/>
            </w:pPr>
            <w:r>
              <w:rPr>
                <w:rFonts w:ascii="Aptos" w:hAnsi="Aptos"/>
                <w:sz w:val="16"/>
              </w:rPr>
              <w:t>Product and release are mandatory core resources; fleet remains optional</w:t>
            </w:r>
          </w:p>
        </w:tc>
      </w:tr>
      <w:tr>
        <w:trPr>
          <w:cantSplit/>
        </w:trPr>
        <w:tc>
          <w:tcPr>
            <w:tcW w:type="dxa" w:w="1728"/>
            <w:shd w:fill="FFFFFF"/>
            <w:tcMar>
              <w:top w:w="60" w:type="dxa"/>
              <w:left w:w="120" w:type="dxa"/>
              <w:bottom w:w="60" w:type="dxa"/>
              <w:right w:w="120" w:type="dxa"/>
            </w:tcMar>
            <w:vAlign w:val="top"/>
          </w:tcPr>
          <w:p>
            <w:pPr>
              <w:spacing w:after="0"/>
            </w:pPr>
            <w:r>
              <w:rPr>
                <w:rFonts w:ascii="Aptos" w:hAnsi="Aptos"/>
                <w:sz w:val="16"/>
              </w:rPr>
              <w:t>Findings</w:t>
            </w:r>
          </w:p>
        </w:tc>
        <w:tc>
          <w:tcPr>
            <w:tcW w:type="dxa" w:w="2520"/>
            <w:shd w:fill="FFFFFF"/>
            <w:tcMar>
              <w:top w:w="60" w:type="dxa"/>
              <w:left w:w="120" w:type="dxa"/>
              <w:bottom w:w="60" w:type="dxa"/>
              <w:right w:w="120" w:type="dxa"/>
            </w:tcMar>
            <w:vAlign w:val="top"/>
          </w:tcPr>
          <w:p>
            <w:pPr>
              <w:spacing w:after="0"/>
            </w:pPr>
            <w:r>
              <w:rPr>
                <w:rFonts w:ascii="Aptos" w:hAnsi="Aptos"/>
                <w:sz w:val="16"/>
              </w:rPr>
              <w:t>Strong evidence and package identity improvements exist, but workflow concepts remain combined</w:t>
            </w:r>
          </w:p>
        </w:tc>
        <w:tc>
          <w:tcPr>
            <w:tcW w:type="dxa" w:w="2664"/>
            <w:shd w:fill="FFFFFF"/>
            <w:tcMar>
              <w:top w:w="60" w:type="dxa"/>
              <w:left w:w="120" w:type="dxa"/>
              <w:bottom w:w="60" w:type="dxa"/>
              <w:right w:w="120" w:type="dxa"/>
            </w:tcMar>
            <w:vAlign w:val="top"/>
          </w:tcPr>
          <w:p>
            <w:pPr>
              <w:spacing w:after="0"/>
            </w:pPr>
            <w:r>
              <w:rPr>
                <w:rFonts w:ascii="Aptos" w:hAnsi="Aptos"/>
                <w:sz w:val="16"/>
              </w:rPr>
              <w:t>Calls for coverage, affectedness, reachability, and vendor intelligence</w:t>
            </w:r>
          </w:p>
        </w:tc>
        <w:tc>
          <w:tcPr>
            <w:tcW w:type="dxa" w:w="3384"/>
            <w:shd w:fill="FFFFFF"/>
            <w:tcMar>
              <w:top w:w="60" w:type="dxa"/>
              <w:left w:w="120" w:type="dxa"/>
              <w:bottom w:w="60" w:type="dxa"/>
              <w:right w:w="120" w:type="dxa"/>
            </w:tcMar>
            <w:vAlign w:val="top"/>
          </w:tcPr>
          <w:p>
            <w:pPr>
              <w:spacing w:after="0"/>
            </w:pPr>
            <w:r>
              <w:rPr>
                <w:rFonts w:ascii="Aptos" w:hAnsi="Aptos"/>
                <w:sz w:val="16"/>
              </w:rPr>
              <w:t>Separate the decision fields and show confidence and sources</w:t>
            </w:r>
          </w:p>
        </w:tc>
      </w:tr>
      <w:tr>
        <w:trPr>
          <w:cantSplit/>
        </w:trPr>
        <w:tc>
          <w:tcPr>
            <w:tcW w:type="dxa" w:w="1728"/>
            <w:shd w:fill="F4F8FC"/>
            <w:tcMar>
              <w:top w:w="60" w:type="dxa"/>
              <w:left w:w="120" w:type="dxa"/>
              <w:bottom w:w="60" w:type="dxa"/>
              <w:right w:w="120" w:type="dxa"/>
            </w:tcMar>
            <w:vAlign w:val="top"/>
          </w:tcPr>
          <w:p>
            <w:pPr>
              <w:spacing w:after="0"/>
            </w:pPr>
            <w:r>
              <w:rPr>
                <w:rFonts w:ascii="Aptos" w:hAnsi="Aptos"/>
                <w:sz w:val="16"/>
              </w:rPr>
              <w:t>Monitoring</w:t>
            </w:r>
          </w:p>
        </w:tc>
        <w:tc>
          <w:tcPr>
            <w:tcW w:type="dxa" w:w="2520"/>
            <w:shd w:fill="F4F8FC"/>
            <w:tcMar>
              <w:top w:w="60" w:type="dxa"/>
              <w:left w:w="120" w:type="dxa"/>
              <w:bottom w:w="60" w:type="dxa"/>
              <w:right w:w="120" w:type="dxa"/>
            </w:tcMar>
            <w:vAlign w:val="top"/>
          </w:tcPr>
          <w:p>
            <w:pPr>
              <w:spacing w:after="0"/>
            </w:pPr>
            <w:r>
              <w:rPr>
                <w:rFonts w:ascii="Aptos" w:hAnsi="Aptos"/>
                <w:sz w:val="16"/>
              </w:rPr>
              <w:t>Manual and scan based flows dominate</w:t>
            </w:r>
          </w:p>
        </w:tc>
        <w:tc>
          <w:tcPr>
            <w:tcW w:type="dxa" w:w="2664"/>
            <w:shd w:fill="F4F8FC"/>
            <w:tcMar>
              <w:top w:w="60" w:type="dxa"/>
              <w:left w:w="120" w:type="dxa"/>
              <w:bottom w:w="60" w:type="dxa"/>
              <w:right w:w="120" w:type="dxa"/>
            </w:tcMar>
            <w:vAlign w:val="top"/>
          </w:tcPr>
          <w:p>
            <w:pPr>
              <w:spacing w:after="0"/>
            </w:pPr>
            <w:r>
              <w:rPr>
                <w:rFonts w:ascii="Aptos" w:hAnsi="Aptos"/>
                <w:sz w:val="16"/>
              </w:rPr>
              <w:t>Backlog calls for scheduled refresh and deduplication</w:t>
            </w:r>
          </w:p>
        </w:tc>
        <w:tc>
          <w:tcPr>
            <w:tcW w:type="dxa" w:w="3384"/>
            <w:shd w:fill="F4F8FC"/>
            <w:tcMar>
              <w:top w:w="60" w:type="dxa"/>
              <w:left w:w="120" w:type="dxa"/>
              <w:bottom w:w="60" w:type="dxa"/>
              <w:right w:w="120" w:type="dxa"/>
            </w:tcMar>
            <w:vAlign w:val="top"/>
          </w:tcPr>
          <w:p>
            <w:pPr>
              <w:spacing w:after="0"/>
            </w:pPr>
            <w:r>
              <w:rPr>
                <w:rFonts w:ascii="Aptos" w:hAnsi="Aptos"/>
                <w:sz w:val="16"/>
              </w:rPr>
              <w:t>Include monitoring in the product contract; deliver after the core release model</w:t>
            </w:r>
          </w:p>
        </w:tc>
      </w:tr>
      <w:tr>
        <w:trPr>
          <w:cantSplit/>
        </w:trPr>
        <w:tc>
          <w:tcPr>
            <w:tcW w:type="dxa" w:w="1728"/>
            <w:shd w:fill="FFFFFF"/>
            <w:tcMar>
              <w:top w:w="60" w:type="dxa"/>
              <w:left w:w="120" w:type="dxa"/>
              <w:bottom w:w="60" w:type="dxa"/>
              <w:right w:w="120" w:type="dxa"/>
            </w:tcMar>
            <w:vAlign w:val="top"/>
          </w:tcPr>
          <w:p>
            <w:pPr>
              <w:spacing w:after="0"/>
            </w:pPr>
            <w:r>
              <w:rPr>
                <w:rFonts w:ascii="Aptos" w:hAnsi="Aptos"/>
                <w:sz w:val="16"/>
              </w:rPr>
              <w:t>Submission</w:t>
            </w:r>
          </w:p>
        </w:tc>
        <w:tc>
          <w:tcPr>
            <w:tcW w:type="dxa" w:w="2520"/>
            <w:shd w:fill="FFFFFF"/>
            <w:tcMar>
              <w:top w:w="60" w:type="dxa"/>
              <w:left w:w="120" w:type="dxa"/>
              <w:bottom w:w="60" w:type="dxa"/>
              <w:right w:w="120" w:type="dxa"/>
            </w:tcMar>
            <w:vAlign w:val="top"/>
          </w:tcPr>
          <w:p>
            <w:pPr>
              <w:spacing w:after="0"/>
            </w:pPr>
            <w:r>
              <w:rPr>
                <w:rFonts w:ascii="Aptos" w:hAnsi="Aptos"/>
                <w:sz w:val="16"/>
              </w:rPr>
              <w:t>Reports require customer-company review and approval; current code does not submit them</w:t>
            </w:r>
          </w:p>
        </w:tc>
        <w:tc>
          <w:tcPr>
            <w:tcW w:type="dxa" w:w="2664"/>
            <w:shd w:fill="FFFFFF"/>
            <w:tcMar>
              <w:top w:w="60" w:type="dxa"/>
              <w:left w:w="120" w:type="dxa"/>
              <w:bottom w:w="60" w:type="dxa"/>
              <w:right w:w="120" w:type="dxa"/>
            </w:tcMar>
            <w:vAlign w:val="top"/>
          </w:tcPr>
          <w:p>
            <w:pPr>
              <w:spacing w:after="0"/>
            </w:pPr>
            <w:r>
              <w:rPr>
                <w:rFonts w:ascii="Aptos" w:hAnsi="Aptos"/>
                <w:sz w:val="16"/>
              </w:rPr>
              <w:t>Calls for SRP fields, receipts, failures, amendments, and a future official connector</w:t>
            </w:r>
          </w:p>
        </w:tc>
        <w:tc>
          <w:tcPr>
            <w:tcW w:type="dxa" w:w="3384"/>
            <w:shd w:fill="FFFFFF"/>
            <w:tcMar>
              <w:top w:w="60" w:type="dxa"/>
              <w:left w:w="120" w:type="dxa"/>
              <w:bottom w:w="60" w:type="dxa"/>
              <w:right w:w="120" w:type="dxa"/>
            </w:tcMar>
            <w:vAlign w:val="top"/>
          </w:tcPr>
          <w:p>
            <w:pPr>
              <w:spacing w:after="0"/>
            </w:pPr>
            <w:r>
              <w:rPr>
                <w:rFonts w:ascii="Aptos" w:hAnsi="Aptos"/>
                <w:sz w:val="16"/>
              </w:rPr>
              <w:t>Launch managed portal filing by a named PandaX Assigned Representative after customer approval. Keep self-filing as a fallback and add an official API connector later.</w:t>
            </w:r>
          </w:p>
        </w:tc>
      </w:tr>
      <w:tr>
        <w:trPr>
          <w:cantSplit/>
        </w:trPr>
        <w:tc>
          <w:tcPr>
            <w:tcW w:type="dxa" w:w="1728"/>
            <w:shd w:fill="F4F8FC"/>
            <w:tcMar>
              <w:top w:w="60" w:type="dxa"/>
              <w:left w:w="120" w:type="dxa"/>
              <w:bottom w:w="60" w:type="dxa"/>
              <w:right w:w="120" w:type="dxa"/>
            </w:tcMar>
            <w:vAlign w:val="top"/>
          </w:tcPr>
          <w:p>
            <w:pPr>
              <w:spacing w:after="0"/>
            </w:pPr>
            <w:r>
              <w:rPr>
                <w:rFonts w:ascii="Aptos" w:hAnsi="Aptos"/>
                <w:sz w:val="16"/>
              </w:rPr>
              <w:t>Evidence trust</w:t>
            </w:r>
          </w:p>
        </w:tc>
        <w:tc>
          <w:tcPr>
            <w:tcW w:type="dxa" w:w="2520"/>
            <w:shd w:fill="F4F8FC"/>
            <w:tcMar>
              <w:top w:w="60" w:type="dxa"/>
              <w:left w:w="120" w:type="dxa"/>
              <w:bottom w:w="60" w:type="dxa"/>
              <w:right w:w="120" w:type="dxa"/>
            </w:tcMar>
            <w:vAlign w:val="top"/>
          </w:tcPr>
          <w:p>
            <w:pPr>
              <w:spacing w:after="0"/>
            </w:pPr>
            <w:r>
              <w:rPr>
                <w:rFonts w:ascii="Aptos" w:hAnsi="Aptos"/>
                <w:sz w:val="16"/>
              </w:rPr>
              <w:t>Evidence hashes and signing work exist</w:t>
            </w:r>
          </w:p>
        </w:tc>
        <w:tc>
          <w:tcPr>
            <w:tcW w:type="dxa" w:w="2664"/>
            <w:shd w:fill="F4F8FC"/>
            <w:tcMar>
              <w:top w:w="60" w:type="dxa"/>
              <w:left w:w="120" w:type="dxa"/>
              <w:bottom w:w="60" w:type="dxa"/>
              <w:right w:w="120" w:type="dxa"/>
            </w:tcMar>
            <w:vAlign w:val="top"/>
          </w:tcPr>
          <w:p>
            <w:pPr>
              <w:spacing w:after="0"/>
            </w:pPr>
            <w:r>
              <w:rPr>
                <w:rFonts w:ascii="Aptos" w:hAnsi="Aptos"/>
                <w:sz w:val="16"/>
              </w:rPr>
              <w:t>Calls for external trust anchors, QTSP, and managed keys</w:t>
            </w:r>
          </w:p>
        </w:tc>
        <w:tc>
          <w:tcPr>
            <w:tcW w:type="dxa" w:w="3384"/>
            <w:shd w:fill="F4F8FC"/>
            <w:tcMar>
              <w:top w:w="60" w:type="dxa"/>
              <w:left w:w="120" w:type="dxa"/>
              <w:bottom w:w="60" w:type="dxa"/>
              <w:right w:w="120" w:type="dxa"/>
            </w:tcMar>
            <w:vAlign w:val="top"/>
          </w:tcPr>
          <w:p>
            <w:pPr>
              <w:spacing w:after="0"/>
            </w:pPr>
            <w:r>
              <w:rPr>
                <w:rFonts w:ascii="Aptos" w:hAnsi="Aptos"/>
                <w:sz w:val="16"/>
              </w:rPr>
              <w:t>Require external trust verification now; advanced custody and qualified seals later</w:t>
            </w:r>
          </w:p>
        </w:tc>
      </w:tr>
      <w:tr>
        <w:trPr>
          <w:cantSplit/>
        </w:trPr>
        <w:tc>
          <w:tcPr>
            <w:tcW w:type="dxa" w:w="1728"/>
            <w:shd w:fill="FFFFFF"/>
            <w:tcMar>
              <w:top w:w="60" w:type="dxa"/>
              <w:left w:w="120" w:type="dxa"/>
              <w:bottom w:w="60" w:type="dxa"/>
              <w:right w:w="120" w:type="dxa"/>
            </w:tcMar>
            <w:vAlign w:val="top"/>
          </w:tcPr>
          <w:p>
            <w:pPr>
              <w:spacing w:after="0"/>
            </w:pPr>
            <w:r>
              <w:rPr>
                <w:rFonts w:ascii="Aptos" w:hAnsi="Aptos"/>
                <w:sz w:val="16"/>
              </w:rPr>
              <w:t>Input formats</w:t>
            </w:r>
          </w:p>
        </w:tc>
        <w:tc>
          <w:tcPr>
            <w:tcW w:type="dxa" w:w="2520"/>
            <w:shd w:fill="FFFFFF"/>
            <w:tcMar>
              <w:top w:w="60" w:type="dxa"/>
              <w:left w:w="120" w:type="dxa"/>
              <w:bottom w:w="60" w:type="dxa"/>
              <w:right w:w="120" w:type="dxa"/>
            </w:tcMar>
            <w:vAlign w:val="top"/>
          </w:tcPr>
          <w:p>
            <w:pPr>
              <w:spacing w:after="0"/>
            </w:pPr>
            <w:r>
              <w:rPr>
                <w:rFonts w:ascii="Aptos" w:hAnsi="Aptos"/>
                <w:sz w:val="16"/>
              </w:rPr>
              <w:t>Proven JSON and archive paths are narrower than the original document promised</w:t>
            </w:r>
          </w:p>
        </w:tc>
        <w:tc>
          <w:tcPr>
            <w:tcW w:type="dxa" w:w="2664"/>
            <w:shd w:fill="FFFFFF"/>
            <w:tcMar>
              <w:top w:w="60" w:type="dxa"/>
              <w:left w:w="120" w:type="dxa"/>
              <w:bottom w:w="60" w:type="dxa"/>
              <w:right w:w="120" w:type="dxa"/>
            </w:tcMar>
            <w:vAlign w:val="top"/>
          </w:tcPr>
          <w:p>
            <w:pPr>
              <w:spacing w:after="0"/>
            </w:pPr>
            <w:r>
              <w:rPr>
                <w:rFonts w:ascii="Aptos" w:hAnsi="Aptos"/>
                <w:sz w:val="16"/>
              </w:rPr>
              <w:t>Calls for real firmware and ecosystem format support</w:t>
            </w:r>
          </w:p>
        </w:tc>
        <w:tc>
          <w:tcPr>
            <w:tcW w:type="dxa" w:w="3384"/>
            <w:shd w:fill="FFFFFF"/>
            <w:tcMar>
              <w:top w:w="60" w:type="dxa"/>
              <w:left w:w="120" w:type="dxa"/>
              <w:bottom w:w="60" w:type="dxa"/>
              <w:right w:w="120" w:type="dxa"/>
            </w:tcMar>
            <w:vAlign w:val="top"/>
          </w:tcPr>
          <w:p>
            <w:pPr>
              <w:spacing w:after="0"/>
            </w:pPr>
            <w:r>
              <w:rPr>
                <w:rFonts w:ascii="Aptos" w:hAnsi="Aptos"/>
                <w:sz w:val="16"/>
              </w:rPr>
              <w:t>Advertise only verified formats through capabilities; add others incrementally</w:t>
            </w:r>
          </w:p>
        </w:tc>
      </w:tr>
    </w:tbl>
    <w:p>
      <w:pPr>
        <w:widowControl/>
        <w:spacing w:after="20"/>
      </w:pPr>
    </w:p>
    <w:p>
      <w:pPr>
        <w:pStyle w:val="Heading2"/>
        <w:widowControl/>
      </w:pPr>
      <w:r>
        <w:t>What changed from the draft</w:t>
      </w:r>
    </w:p>
    <w:p>
      <w:pPr>
        <w:pStyle w:val="ListBullet"/>
        <w:widowControl/>
      </w:pPr>
      <w:r>
        <w:t>Durable cases, event history, report revisions, candidate releases, and human confirmation are no longer only recommendations; the updated code demonstrates them and they are now first class API concepts.</w:t>
      </w:r>
    </w:p>
    <w:p>
      <w:pPr>
        <w:pStyle w:val="ListBullet"/>
        <w:widowControl/>
      </w:pPr>
      <w:r>
        <w:t>The draft's direct submission action becomes customer approval, a managed filing request, filing by a named PandaX Assigned Representative, receipt capture, failure handling, and amendments. Direct ENISA API integration can be added later.</w:t>
      </w:r>
    </w:p>
    <w:p>
      <w:pPr>
        <w:pStyle w:val="ListBullet"/>
        <w:widowControl/>
      </w:pPr>
      <w:r>
        <w:t>Detection time is no longer used as a substitute for awareness time.</w:t>
      </w:r>
    </w:p>
    <w:p>
      <w:pPr>
        <w:pStyle w:val="ListBullet"/>
        <w:widowControl/>
      </w:pPr>
      <w:r>
        <w:t>The single finding status is replaced with separate security and workflow decisions.</w:t>
      </w:r>
    </w:p>
    <w:p>
      <w:pPr>
        <w:pStyle w:val="ListBullet"/>
        <w:widowControl/>
      </w:pPr>
      <w:r>
        <w:t>Product and release records move from background context to the center of the API.</w:t>
      </w:r>
    </w:p>
    <w:p>
      <w:pPr>
        <w:pStyle w:val="ListBullet"/>
        <w:widowControl/>
      </w:pPr>
      <w:r>
        <w:t>Input format claims are limited by the live capabilities of each installation.</w:t>
      </w:r>
    </w:p>
    <w:p>
      <w:pPr>
        <w:pStyle w:val="ListBullet"/>
        <w:widowControl/>
      </w:pPr>
      <w:r>
        <w:t>Severe incidents receive their own final report timing instead of sharing the vulnerability rule.</w:t>
      </w:r>
    </w:p>
    <w:p>
      <w:pPr>
        <w:pStyle w:val="Heading1"/>
        <w:widowControl/>
      </w:pPr>
      <w:r>
        <w:t>17 Reference statuses events and errors</w:t>
      </w:r>
    </w:p>
    <w:p>
      <w:pPr>
        <w:pStyle w:val="Heading2"/>
        <w:widowControl/>
      </w:pPr>
      <w:r>
        <w:t>Common statuses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448"/>
            <w:shd w:fill="17365D"/>
            <w:tcMar>
              <w:top w:w="100" w:type="dxa"/>
              <w:left w:w="120" w:type="dxa"/>
              <w:bottom w:w="100" w:type="dxa"/>
              <w:right w:w="120" w:type="dxa"/>
            </w:tcMar>
            <w:vAlign w:val="center"/>
          </w:tcPr>
          <w:p>
            <w:pPr>
              <w:keepNext/>
            </w:pPr>
            <w:r>
              <w:rPr>
                <w:rFonts w:ascii="Aptos" w:hAnsi="Aptos"/>
                <w:b/>
                <w:color w:val="FFFFFF"/>
                <w:sz w:val="19"/>
              </w:rPr>
              <w:t>Record</w:t>
            </w:r>
          </w:p>
        </w:tc>
        <w:tc>
          <w:tcPr>
            <w:tcW w:type="dxa" w:w="7848"/>
            <w:shd w:fill="17365D"/>
            <w:tcMar>
              <w:top w:w="100" w:type="dxa"/>
              <w:left w:w="120" w:type="dxa"/>
              <w:bottom w:w="100" w:type="dxa"/>
              <w:right w:w="120" w:type="dxa"/>
            </w:tcMar>
            <w:vAlign w:val="center"/>
          </w:tcPr>
          <w:p>
            <w:pPr>
              <w:keepNext/>
            </w:pPr>
            <w:r>
              <w:rPr>
                <w:rFonts w:ascii="Aptos" w:hAnsi="Aptos"/>
                <w:b/>
                <w:color w:val="FFFFFF"/>
                <w:sz w:val="19"/>
              </w:rPr>
              <w:t>Statuses</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Job</w:t>
            </w:r>
          </w:p>
        </w:tc>
        <w:tc>
          <w:tcPr>
            <w:tcW w:type="dxa" w:w="7848"/>
            <w:shd w:fill="F4F8FC"/>
            <w:tcMar>
              <w:top w:w="90" w:type="dxa"/>
              <w:left w:w="120" w:type="dxa"/>
              <w:bottom w:w="90" w:type="dxa"/>
              <w:right w:w="120" w:type="dxa"/>
            </w:tcMar>
            <w:vAlign w:val="top"/>
          </w:tcPr>
          <w:p>
            <w:pPr>
              <w:spacing w:after="0"/>
            </w:pPr>
            <w:r>
              <w:rPr>
                <w:rFonts w:ascii="Aptos" w:hAnsi="Aptos"/>
                <w:sz w:val="18"/>
              </w:rPr>
              <w:t>queued, running, succeeded, failed, cancelled</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Scan</w:t>
            </w:r>
          </w:p>
        </w:tc>
        <w:tc>
          <w:tcPr>
            <w:tcW w:type="dxa" w:w="7848"/>
            <w:shd w:fill="FFFFFF"/>
            <w:tcMar>
              <w:top w:w="90" w:type="dxa"/>
              <w:left w:w="120" w:type="dxa"/>
              <w:bottom w:w="90" w:type="dxa"/>
              <w:right w:w="120" w:type="dxa"/>
            </w:tcMar>
            <w:vAlign w:val="top"/>
          </w:tcPr>
          <w:p>
            <w:pPr>
              <w:spacing w:after="0"/>
            </w:pPr>
            <w:r>
              <w:rPr>
                <w:rFonts w:ascii="Aptos" w:hAnsi="Aptos"/>
                <w:sz w:val="18"/>
              </w:rPr>
              <w:t>queued, analyzing, completed, completed_with_limits, failed, cancelled</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Coverage</w:t>
            </w:r>
          </w:p>
        </w:tc>
        <w:tc>
          <w:tcPr>
            <w:tcW w:type="dxa" w:w="7848"/>
            <w:shd w:fill="F4F8FC"/>
            <w:tcMar>
              <w:top w:w="90" w:type="dxa"/>
              <w:left w:w="120" w:type="dxa"/>
              <w:bottom w:w="90" w:type="dxa"/>
              <w:right w:w="120" w:type="dxa"/>
            </w:tcMar>
            <w:vAlign w:val="top"/>
          </w:tcPr>
          <w:p>
            <w:pPr>
              <w:spacing w:after="0"/>
            </w:pPr>
            <w:r>
              <w:rPr>
                <w:rFonts w:ascii="Aptos" w:hAnsi="Aptos"/>
                <w:sz w:val="18"/>
              </w:rPr>
              <w:t>complete, partial, unknown, unavailable</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Case</w:t>
            </w:r>
          </w:p>
        </w:tc>
        <w:tc>
          <w:tcPr>
            <w:tcW w:type="dxa" w:w="7848"/>
            <w:shd w:fill="FFFFFF"/>
            <w:tcMar>
              <w:top w:w="90" w:type="dxa"/>
              <w:left w:w="120" w:type="dxa"/>
              <w:bottom w:w="90" w:type="dxa"/>
              <w:right w:w="120" w:type="dxa"/>
            </w:tcMar>
            <w:vAlign w:val="top"/>
          </w:tcPr>
          <w:p>
            <w:pPr>
              <w:spacing w:after="0"/>
            </w:pPr>
            <w:r>
              <w:rPr>
                <w:rFonts w:ascii="Aptos" w:hAnsi="Aptos"/>
                <w:sz w:val="18"/>
              </w:rPr>
              <w:t>triage, monitoring, reporting, remediation, awaiting_final_report, closed</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Report revision</w:t>
            </w:r>
          </w:p>
        </w:tc>
        <w:tc>
          <w:tcPr>
            <w:tcW w:type="dxa" w:w="7848"/>
            <w:shd w:fill="F4F8FC"/>
            <w:tcMar>
              <w:top w:w="90" w:type="dxa"/>
              <w:left w:w="120" w:type="dxa"/>
              <w:bottom w:w="90" w:type="dxa"/>
              <w:right w:w="120" w:type="dxa"/>
            </w:tcMar>
            <w:vAlign w:val="top"/>
          </w:tcPr>
          <w:p>
            <w:pPr>
              <w:spacing w:after="0"/>
            </w:pPr>
            <w:r>
              <w:rPr>
                <w:rFonts w:ascii="Aptos" w:hAnsi="Aptos"/>
                <w:sz w:val="18"/>
              </w:rPr>
              <w:t>draft, ready_for_review, changes_requested, approved, superseded</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Submission attempt</w:t>
            </w:r>
          </w:p>
        </w:tc>
        <w:tc>
          <w:tcPr>
            <w:tcW w:type="dxa" w:w="7848"/>
            <w:shd w:fill="FFFFFF"/>
            <w:tcMar>
              <w:top w:w="90" w:type="dxa"/>
              <w:left w:w="120" w:type="dxa"/>
              <w:bottom w:w="90" w:type="dxa"/>
              <w:right w:w="120" w:type="dxa"/>
            </w:tcMar>
            <w:vAlign w:val="top"/>
          </w:tcPr>
          <w:p>
            <w:pPr>
              <w:spacing w:after="0"/>
            </w:pPr>
            <w:r>
              <w:rPr>
                <w:rFonts w:ascii="Aptos" w:hAnsi="Aptos"/>
                <w:sz w:val="18"/>
              </w:rPr>
              <w:t>requested, in_progress, submitted, acknowledged, rejected, failed, cancelled, unknown</w:t>
            </w:r>
          </w:p>
        </w:tc>
      </w:tr>
      <w:tr>
        <w:trPr>
          <w:cantSplit/>
        </w:trPr>
        <w:tc>
          <w:tcPr>
            <w:tcW w:type="dxa" w:w="2448"/>
            <w:shd w:fill="F4F8FC"/>
            <w:tcMar>
              <w:top w:w="90" w:type="dxa"/>
              <w:left w:w="120" w:type="dxa"/>
              <w:bottom w:w="90" w:type="dxa"/>
              <w:right w:w="120" w:type="dxa"/>
            </w:tcMar>
            <w:vAlign w:val="top"/>
          </w:tcPr>
          <w:p>
            <w:pPr>
              <w:spacing w:after="0"/>
            </w:pPr>
            <w:r>
              <w:rPr>
                <w:rFonts w:ascii="Aptos" w:hAnsi="Aptos"/>
                <w:sz w:val="18"/>
              </w:rPr>
              <w:t>Document</w:t>
            </w:r>
          </w:p>
        </w:tc>
        <w:tc>
          <w:tcPr>
            <w:tcW w:type="dxa" w:w="7848"/>
            <w:shd w:fill="F4F8FC"/>
            <w:tcMar>
              <w:top w:w="90" w:type="dxa"/>
              <w:left w:w="120" w:type="dxa"/>
              <w:bottom w:w="90" w:type="dxa"/>
              <w:right w:w="120" w:type="dxa"/>
            </w:tcMar>
            <w:vAlign w:val="top"/>
          </w:tcPr>
          <w:p>
            <w:pPr>
              <w:spacing w:after="0"/>
            </w:pPr>
            <w:r>
              <w:rPr>
                <w:rFonts w:ascii="Aptos" w:hAnsi="Aptos"/>
                <w:sz w:val="18"/>
              </w:rPr>
              <w:t>draft, incomplete, ready_for_review, approved, superseded</w:t>
            </w:r>
          </w:p>
        </w:tc>
      </w:tr>
      <w:tr>
        <w:trPr>
          <w:cantSplit/>
        </w:trPr>
        <w:tc>
          <w:tcPr>
            <w:tcW w:type="dxa" w:w="2448"/>
            <w:shd w:fill="FFFFFF"/>
            <w:tcMar>
              <w:top w:w="90" w:type="dxa"/>
              <w:left w:w="120" w:type="dxa"/>
              <w:bottom w:w="90" w:type="dxa"/>
              <w:right w:w="120" w:type="dxa"/>
            </w:tcMar>
            <w:vAlign w:val="top"/>
          </w:tcPr>
          <w:p>
            <w:pPr>
              <w:spacing w:after="0"/>
            </w:pPr>
            <w:r>
              <w:rPr>
                <w:rFonts w:ascii="Aptos" w:hAnsi="Aptos"/>
                <w:sz w:val="18"/>
              </w:rPr>
              <w:t>Evidence verification</w:t>
            </w:r>
          </w:p>
        </w:tc>
        <w:tc>
          <w:tcPr>
            <w:tcW w:type="dxa" w:w="7848"/>
            <w:shd w:fill="FFFFFF"/>
            <w:tcMar>
              <w:top w:w="90" w:type="dxa"/>
              <w:left w:w="120" w:type="dxa"/>
              <w:bottom w:w="90" w:type="dxa"/>
              <w:right w:w="120" w:type="dxa"/>
            </w:tcMar>
            <w:vAlign w:val="top"/>
          </w:tcPr>
          <w:p>
            <w:pPr>
              <w:spacing w:after="0"/>
            </w:pPr>
            <w:r>
              <w:rPr>
                <w:rFonts w:ascii="Aptos" w:hAnsi="Aptos"/>
                <w:sz w:val="18"/>
              </w:rPr>
              <w:t>valid_and_trusted, valid_untrusted, invalid, incomplete</w:t>
            </w:r>
          </w:p>
        </w:tc>
      </w:tr>
    </w:tbl>
    <w:p>
      <w:pPr>
        <w:widowControl/>
        <w:spacing w:after="20"/>
      </w:pPr>
    </w:p>
    <w:p>
      <w:pPr>
        <w:pStyle w:val="Heading2"/>
        <w:widowControl/>
      </w:pPr>
      <w:r>
        <w:t>Important events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384"/>
            <w:shd w:fill="17365D"/>
            <w:tcMar>
              <w:top w:w="100" w:type="dxa"/>
              <w:left w:w="120" w:type="dxa"/>
              <w:bottom w:w="100" w:type="dxa"/>
              <w:right w:w="120" w:type="dxa"/>
            </w:tcMar>
            <w:vAlign w:val="center"/>
          </w:tcPr>
          <w:p>
            <w:pPr>
              <w:keepNext/>
            </w:pPr>
            <w:r>
              <w:rPr>
                <w:rFonts w:ascii="Aptos" w:hAnsi="Aptos"/>
                <w:b/>
                <w:color w:val="FFFFFF"/>
                <w:sz w:val="19"/>
              </w:rPr>
              <w:t>Event</w:t>
            </w:r>
          </w:p>
        </w:tc>
        <w:tc>
          <w:tcPr>
            <w:tcW w:type="dxa" w:w="6912"/>
            <w:shd w:fill="17365D"/>
            <w:tcMar>
              <w:top w:w="100" w:type="dxa"/>
              <w:left w:w="120" w:type="dxa"/>
              <w:bottom w:w="100" w:type="dxa"/>
              <w:right w:w="120" w:type="dxa"/>
            </w:tcMar>
            <w:vAlign w:val="center"/>
          </w:tcPr>
          <w:p>
            <w:pPr>
              <w:keepNext/>
            </w:pPr>
            <w:r>
              <w:rPr>
                <w:rFonts w:ascii="Aptos" w:hAnsi="Aptos"/>
                <w:b/>
                <w:color w:val="FFFFFF"/>
                <w:sz w:val="19"/>
              </w:rPr>
              <w:t>When it is sent</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scan.completed</w:t>
            </w:r>
          </w:p>
        </w:tc>
        <w:tc>
          <w:tcPr>
            <w:tcW w:type="dxa" w:w="6912"/>
            <w:shd w:fill="F4F8FC"/>
            <w:tcMar>
              <w:top w:w="90" w:type="dxa"/>
              <w:left w:w="120" w:type="dxa"/>
              <w:bottom w:w="90" w:type="dxa"/>
              <w:right w:w="120" w:type="dxa"/>
            </w:tcMar>
            <w:vAlign w:val="top"/>
          </w:tcPr>
          <w:p>
            <w:pPr>
              <w:spacing w:after="0"/>
            </w:pPr>
            <w:r>
              <w:rPr>
                <w:rFonts w:ascii="Aptos" w:hAnsi="Aptos"/>
                <w:sz w:val="18"/>
              </w:rPr>
              <w:t>A scan finishes, including a completed with limits result.</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finding.created</w:t>
            </w:r>
          </w:p>
        </w:tc>
        <w:tc>
          <w:tcPr>
            <w:tcW w:type="dxa" w:w="6912"/>
            <w:shd w:fill="FFFFFF"/>
            <w:tcMar>
              <w:top w:w="90" w:type="dxa"/>
              <w:left w:w="120" w:type="dxa"/>
              <w:bottom w:w="90" w:type="dxa"/>
              <w:right w:w="120" w:type="dxa"/>
            </w:tcMar>
            <w:vAlign w:val="top"/>
          </w:tcPr>
          <w:p>
            <w:pPr>
              <w:spacing w:after="0"/>
            </w:pPr>
            <w:r>
              <w:rPr>
                <w:rFonts w:ascii="Aptos" w:hAnsi="Aptos"/>
                <w:sz w:val="18"/>
              </w:rPr>
              <w:t>A new finding is recorded.</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finding.decision_recorded</w:t>
            </w:r>
          </w:p>
        </w:tc>
        <w:tc>
          <w:tcPr>
            <w:tcW w:type="dxa" w:w="6912"/>
            <w:shd w:fill="F4F8FC"/>
            <w:tcMar>
              <w:top w:w="90" w:type="dxa"/>
              <w:left w:w="120" w:type="dxa"/>
              <w:bottom w:w="90" w:type="dxa"/>
              <w:right w:w="120" w:type="dxa"/>
            </w:tcMar>
            <w:vAlign w:val="top"/>
          </w:tcPr>
          <w:p>
            <w:pPr>
              <w:spacing w:after="0"/>
            </w:pPr>
            <w:r>
              <w:t>An authorized reviewer at the customer company records or changes a decision.</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monitoring.change_detected</w:t>
            </w:r>
          </w:p>
        </w:tc>
        <w:tc>
          <w:tcPr>
            <w:tcW w:type="dxa" w:w="6912"/>
            <w:shd w:fill="FFFFFF"/>
            <w:tcMar>
              <w:top w:w="90" w:type="dxa"/>
              <w:left w:w="120" w:type="dxa"/>
              <w:bottom w:w="90" w:type="dxa"/>
              <w:right w:w="120" w:type="dxa"/>
            </w:tcMar>
            <w:vAlign w:val="top"/>
          </w:tcPr>
          <w:p>
            <w:pPr>
              <w:spacing w:after="0"/>
            </w:pPr>
            <w:r>
              <w:rPr>
                <w:rFonts w:ascii="Aptos" w:hAnsi="Aptos"/>
                <w:sz w:val="18"/>
              </w:rPr>
              <w:t>Monitoring finds new or changed information.</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case.created</w:t>
            </w:r>
          </w:p>
        </w:tc>
        <w:tc>
          <w:tcPr>
            <w:tcW w:type="dxa" w:w="6912"/>
            <w:shd w:fill="F4F8FC"/>
            <w:tcMar>
              <w:top w:w="90" w:type="dxa"/>
              <w:left w:w="120" w:type="dxa"/>
              <w:bottom w:w="90" w:type="dxa"/>
              <w:right w:w="120" w:type="dxa"/>
            </w:tcMar>
            <w:vAlign w:val="top"/>
          </w:tcPr>
          <w:p>
            <w:pPr>
              <w:spacing w:after="0"/>
            </w:pPr>
            <w:r>
              <w:rPr>
                <w:rFonts w:ascii="Aptos" w:hAnsi="Aptos"/>
                <w:sz w:val="18"/>
              </w:rPr>
              <w:t>A regulatory case is opened.</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case.awareness_recorded</w:t>
            </w:r>
          </w:p>
        </w:tc>
        <w:tc>
          <w:tcPr>
            <w:tcW w:type="dxa" w:w="6912"/>
            <w:shd w:fill="FFFFFF"/>
            <w:tcMar>
              <w:top w:w="90" w:type="dxa"/>
              <w:left w:w="120" w:type="dxa"/>
              <w:bottom w:w="90" w:type="dxa"/>
              <w:right w:w="120" w:type="dxa"/>
            </w:tcMar>
            <w:vAlign w:val="top"/>
          </w:tcPr>
          <w:p>
            <w:pPr>
              <w:spacing w:after="0"/>
            </w:pPr>
            <w:r>
              <w:t>An authorized user at the customer company approves the awareness time.</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case.deadline_at_risk</w:t>
            </w:r>
          </w:p>
        </w:tc>
        <w:tc>
          <w:tcPr>
            <w:tcW w:type="dxa" w:w="6912"/>
            <w:shd w:fill="F4F8FC"/>
            <w:tcMar>
              <w:top w:w="90" w:type="dxa"/>
              <w:left w:w="120" w:type="dxa"/>
              <w:bottom w:w="90" w:type="dxa"/>
              <w:right w:w="120" w:type="dxa"/>
            </w:tcMar>
            <w:vAlign w:val="top"/>
          </w:tcPr>
          <w:p>
            <w:pPr>
              <w:spacing w:after="0"/>
            </w:pPr>
            <w:r>
              <w:rPr>
                <w:rFonts w:ascii="Aptos" w:hAnsi="Aptos"/>
                <w:sz w:val="18"/>
              </w:rPr>
              <w:t>A required action is approaching or overdue.</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case.measure_confirmed</w:t>
            </w:r>
          </w:p>
        </w:tc>
        <w:tc>
          <w:tcPr>
            <w:tcW w:type="dxa" w:w="6912"/>
            <w:shd w:fill="FFFFFF"/>
            <w:tcMar>
              <w:top w:w="90" w:type="dxa"/>
              <w:left w:w="120" w:type="dxa"/>
              <w:bottom w:w="90" w:type="dxa"/>
              <w:right w:w="120" w:type="dxa"/>
            </w:tcMar>
            <w:vAlign w:val="top"/>
          </w:tcPr>
          <w:p>
            <w:pPr>
              <w:spacing w:after="0"/>
            </w:pPr>
            <w:r>
              <w:t>An authorized user from the customer company confirms measure availability.</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report.approved</w:t>
            </w:r>
          </w:p>
        </w:tc>
        <w:tc>
          <w:tcPr>
            <w:tcW w:type="dxa" w:w="6912"/>
            <w:shd w:fill="F4F8FC"/>
            <w:tcMar>
              <w:top w:w="90" w:type="dxa"/>
              <w:left w:w="120" w:type="dxa"/>
              <w:bottom w:w="90" w:type="dxa"/>
              <w:right w:w="120" w:type="dxa"/>
            </w:tcMar>
            <w:vAlign w:val="top"/>
          </w:tcPr>
          <w:p>
            <w:pPr>
              <w:spacing w:after="0"/>
            </w:pPr>
            <w:r>
              <w:t>An authorized user from the customer company approves an exact report revision.</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submission.status_changed</w:t>
            </w:r>
          </w:p>
        </w:tc>
        <w:tc>
          <w:tcPr>
            <w:tcW w:type="dxa" w:w="6912"/>
            <w:shd w:fill="FFFFFF"/>
            <w:tcMar>
              <w:top w:w="90" w:type="dxa"/>
              <w:left w:w="120" w:type="dxa"/>
              <w:bottom w:w="90" w:type="dxa"/>
              <w:right w:w="120" w:type="dxa"/>
            </w:tcMar>
            <w:vAlign w:val="top"/>
          </w:tcPr>
          <w:p>
            <w:pPr>
              <w:spacing w:after="0"/>
            </w:pPr>
            <w:r>
              <w:rPr>
                <w:rFonts w:ascii="Aptos" w:hAnsi="Aptos"/>
                <w:sz w:val="18"/>
              </w:rPr>
              <w:t>A managed or customer filing is requested, submitted, acknowledged, rejected, or fails.</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evidence.verification_failed</w:t>
            </w:r>
          </w:p>
        </w:tc>
        <w:tc>
          <w:tcPr>
            <w:tcW w:type="dxa" w:w="6912"/>
            <w:shd w:fill="F4F8FC"/>
            <w:tcMar>
              <w:top w:w="90" w:type="dxa"/>
              <w:left w:w="120" w:type="dxa"/>
              <w:bottom w:w="90" w:type="dxa"/>
              <w:right w:w="120" w:type="dxa"/>
            </w:tcMar>
            <w:vAlign w:val="top"/>
          </w:tcPr>
          <w:p>
            <w:pPr>
              <w:spacing w:after="0"/>
            </w:pPr>
            <w:r>
              <w:rPr>
                <w:rFonts w:ascii="Aptos" w:hAnsi="Aptos"/>
                <w:sz w:val="18"/>
              </w:rPr>
              <w:t>An integrity or trust check fails.</w:t>
            </w:r>
          </w:p>
        </w:tc>
      </w:tr>
    </w:tbl>
    <w:p>
      <w:pPr>
        <w:widowControl/>
        <w:spacing w:after="20"/>
      </w:pPr>
    </w:p>
    <w:p>
      <w:pPr>
        <w:pStyle w:val="Heading2"/>
        <w:widowControl/>
      </w:pPr>
      <w:r>
        <w:t>Error codes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384"/>
            <w:shd w:fill="17365D"/>
            <w:tcMar>
              <w:top w:w="100" w:type="dxa"/>
              <w:left w:w="120" w:type="dxa"/>
              <w:bottom w:w="100" w:type="dxa"/>
              <w:right w:w="120" w:type="dxa"/>
            </w:tcMar>
            <w:vAlign w:val="center"/>
          </w:tcPr>
          <w:p>
            <w:pPr>
              <w:keepNext/>
            </w:pPr>
            <w:r>
              <w:rPr>
                <w:rFonts w:ascii="Aptos" w:hAnsi="Aptos"/>
                <w:b/>
                <w:color w:val="FFFFFF"/>
                <w:sz w:val="19"/>
              </w:rPr>
              <w:t>Code</w:t>
            </w:r>
          </w:p>
        </w:tc>
        <w:tc>
          <w:tcPr>
            <w:tcW w:type="dxa" w:w="6912"/>
            <w:shd w:fill="17365D"/>
            <w:tcMar>
              <w:top w:w="100" w:type="dxa"/>
              <w:left w:w="120" w:type="dxa"/>
              <w:bottom w:w="100" w:type="dxa"/>
              <w:right w:w="120" w:type="dxa"/>
            </w:tcMar>
            <w:vAlign w:val="center"/>
          </w:tcPr>
          <w:p>
            <w:pPr>
              <w:keepNext/>
            </w:pPr>
            <w:r>
              <w:rPr>
                <w:rFonts w:ascii="Aptos" w:hAnsi="Aptos"/>
                <w:b/>
                <w:color w:val="FFFFFF"/>
                <w:sz w:val="19"/>
              </w:rPr>
              <w:t>Meaning</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validation_failed</w:t>
            </w:r>
          </w:p>
        </w:tc>
        <w:tc>
          <w:tcPr>
            <w:tcW w:type="dxa" w:w="6912"/>
            <w:shd w:fill="F4F8FC"/>
            <w:tcMar>
              <w:top w:w="90" w:type="dxa"/>
              <w:left w:w="120" w:type="dxa"/>
              <w:bottom w:w="90" w:type="dxa"/>
              <w:right w:w="120" w:type="dxa"/>
            </w:tcMar>
            <w:vAlign w:val="top"/>
          </w:tcPr>
          <w:p>
            <w:pPr>
              <w:spacing w:after="0"/>
            </w:pPr>
            <w:r>
              <w:rPr>
                <w:rFonts w:ascii="Aptos" w:hAnsi="Aptos"/>
                <w:sz w:val="18"/>
              </w:rPr>
              <w:t>One or more supplied fields are missing or invalid.</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not_authenticated</w:t>
            </w:r>
          </w:p>
        </w:tc>
        <w:tc>
          <w:tcPr>
            <w:tcW w:type="dxa" w:w="6912"/>
            <w:shd w:fill="FFFFFF"/>
            <w:tcMar>
              <w:top w:w="90" w:type="dxa"/>
              <w:left w:w="120" w:type="dxa"/>
              <w:bottom w:w="90" w:type="dxa"/>
              <w:right w:w="120" w:type="dxa"/>
            </w:tcMar>
            <w:vAlign w:val="top"/>
          </w:tcPr>
          <w:p>
            <w:pPr>
              <w:spacing w:after="0"/>
            </w:pPr>
            <w:r>
              <w:rPr>
                <w:rFonts w:ascii="Aptos" w:hAnsi="Aptos"/>
                <w:sz w:val="18"/>
              </w:rPr>
              <w:t>No valid identity was supplied.</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not_authorized</w:t>
            </w:r>
          </w:p>
        </w:tc>
        <w:tc>
          <w:tcPr>
            <w:tcW w:type="dxa" w:w="6912"/>
            <w:shd w:fill="F4F8FC"/>
            <w:tcMar>
              <w:top w:w="90" w:type="dxa"/>
              <w:left w:w="120" w:type="dxa"/>
              <w:bottom w:w="90" w:type="dxa"/>
              <w:right w:w="120" w:type="dxa"/>
            </w:tcMar>
            <w:vAlign w:val="top"/>
          </w:tcPr>
          <w:p>
            <w:pPr>
              <w:spacing w:after="0"/>
            </w:pPr>
            <w:r>
              <w:rPr>
                <w:rFonts w:ascii="Aptos" w:hAnsi="Aptos"/>
                <w:sz w:val="18"/>
              </w:rPr>
              <w:t>The identity does not have permission for this action.</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not_found</w:t>
            </w:r>
          </w:p>
        </w:tc>
        <w:tc>
          <w:tcPr>
            <w:tcW w:type="dxa" w:w="6912"/>
            <w:shd w:fill="FFFFFF"/>
            <w:tcMar>
              <w:top w:w="90" w:type="dxa"/>
              <w:left w:w="120" w:type="dxa"/>
              <w:bottom w:w="90" w:type="dxa"/>
              <w:right w:w="120" w:type="dxa"/>
            </w:tcMar>
            <w:vAlign w:val="top"/>
          </w:tcPr>
          <w:p>
            <w:pPr>
              <w:spacing w:after="0"/>
            </w:pPr>
            <w:r>
              <w:rPr>
                <w:rFonts w:ascii="Aptos" w:hAnsi="Aptos"/>
                <w:sz w:val="18"/>
              </w:rPr>
              <w:t>The requested record does not exist in the organization.</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conflict</w:t>
            </w:r>
          </w:p>
        </w:tc>
        <w:tc>
          <w:tcPr>
            <w:tcW w:type="dxa" w:w="6912"/>
            <w:shd w:fill="F4F8FC"/>
            <w:tcMar>
              <w:top w:w="90" w:type="dxa"/>
              <w:left w:w="120" w:type="dxa"/>
              <w:bottom w:w="90" w:type="dxa"/>
              <w:right w:w="120" w:type="dxa"/>
            </w:tcMar>
            <w:vAlign w:val="top"/>
          </w:tcPr>
          <w:p>
            <w:pPr>
              <w:spacing w:after="0"/>
            </w:pPr>
            <w:r>
              <w:rPr>
                <w:rFonts w:ascii="Aptos" w:hAnsi="Aptos"/>
                <w:sz w:val="18"/>
              </w:rPr>
              <w:t>The action conflicts with the current state or a duplicate request.</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coverage_incomplete</w:t>
            </w:r>
          </w:p>
        </w:tc>
        <w:tc>
          <w:tcPr>
            <w:tcW w:type="dxa" w:w="6912"/>
            <w:shd w:fill="FFFFFF"/>
            <w:tcMar>
              <w:top w:w="90" w:type="dxa"/>
              <w:left w:w="120" w:type="dxa"/>
              <w:bottom w:w="90" w:type="dxa"/>
              <w:right w:w="120" w:type="dxa"/>
            </w:tcMar>
            <w:vAlign w:val="top"/>
          </w:tcPr>
          <w:p>
            <w:pPr>
              <w:spacing w:after="0"/>
            </w:pPr>
            <w:r>
              <w:rPr>
                <w:rFonts w:ascii="Aptos" w:hAnsi="Aptos"/>
                <w:sz w:val="18"/>
              </w:rPr>
              <w:t>The requested conclusion cannot be supported by available coverage.</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approval_required</w:t>
            </w:r>
          </w:p>
        </w:tc>
        <w:tc>
          <w:tcPr>
            <w:tcW w:type="dxa" w:w="6912"/>
            <w:shd w:fill="F4F8FC"/>
            <w:tcMar>
              <w:top w:w="90" w:type="dxa"/>
              <w:left w:w="120" w:type="dxa"/>
              <w:bottom w:w="90" w:type="dxa"/>
              <w:right w:w="120" w:type="dxa"/>
            </w:tcMar>
            <w:vAlign w:val="top"/>
          </w:tcPr>
          <w:p>
            <w:pPr>
              <w:spacing w:after="0"/>
            </w:pPr>
            <w:r>
              <w:t>Approval by an authorized user at the customer company is required first.</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deadline_trigger_missing</w:t>
            </w:r>
          </w:p>
        </w:tc>
        <w:tc>
          <w:tcPr>
            <w:tcW w:type="dxa" w:w="6912"/>
            <w:shd w:fill="FFFFFF"/>
            <w:tcMar>
              <w:top w:w="90" w:type="dxa"/>
              <w:left w:w="120" w:type="dxa"/>
              <w:bottom w:w="90" w:type="dxa"/>
              <w:right w:w="120" w:type="dxa"/>
            </w:tcMar>
            <w:vAlign w:val="top"/>
          </w:tcPr>
          <w:p>
            <w:pPr>
              <w:spacing w:after="0"/>
            </w:pPr>
            <w:r>
              <w:rPr>
                <w:rFonts w:ascii="Aptos" w:hAnsi="Aptos"/>
                <w:sz w:val="18"/>
              </w:rPr>
              <w:t>A deadline cannot be calculated until its trigger is recorded.</w:t>
            </w:r>
          </w:p>
        </w:tc>
      </w:tr>
      <w:tr>
        <w:trPr>
          <w:cantSplit/>
        </w:trPr>
        <w:tc>
          <w:tcPr>
            <w:tcW w:type="dxa" w:w="3384"/>
            <w:shd w:fill="F4F8FC"/>
            <w:tcMar>
              <w:top w:w="90" w:type="dxa"/>
              <w:left w:w="120" w:type="dxa"/>
              <w:bottom w:w="90" w:type="dxa"/>
              <w:right w:w="120" w:type="dxa"/>
            </w:tcMar>
            <w:vAlign w:val="top"/>
          </w:tcPr>
          <w:p>
            <w:pPr>
              <w:spacing w:after="0"/>
            </w:pPr>
            <w:r>
              <w:rPr>
                <w:rFonts w:ascii="Aptos" w:hAnsi="Aptos"/>
                <w:sz w:val="18"/>
              </w:rPr>
              <w:t>capability_unavailable</w:t>
            </w:r>
          </w:p>
        </w:tc>
        <w:tc>
          <w:tcPr>
            <w:tcW w:type="dxa" w:w="6912"/>
            <w:shd w:fill="F4F8FC"/>
            <w:tcMar>
              <w:top w:w="90" w:type="dxa"/>
              <w:left w:w="120" w:type="dxa"/>
              <w:bottom w:w="90" w:type="dxa"/>
              <w:right w:w="120" w:type="dxa"/>
            </w:tcMar>
            <w:vAlign w:val="top"/>
          </w:tcPr>
          <w:p>
            <w:pPr>
              <w:spacing w:after="0"/>
            </w:pPr>
            <w:r>
              <w:rPr>
                <w:rFonts w:ascii="Aptos" w:hAnsi="Aptos"/>
                <w:sz w:val="18"/>
              </w:rPr>
              <w:t>The requested format, scanner, feed, managed filing service, or connector is not available.</w:t>
            </w:r>
          </w:p>
        </w:tc>
      </w:tr>
      <w:tr>
        <w:trPr>
          <w:cantSplit/>
        </w:trPr>
        <w:tc>
          <w:tcPr>
            <w:tcW w:type="dxa" w:w="3384"/>
            <w:shd w:fill="FFFFFF"/>
            <w:tcMar>
              <w:top w:w="90" w:type="dxa"/>
              <w:left w:w="120" w:type="dxa"/>
              <w:bottom w:w="90" w:type="dxa"/>
              <w:right w:w="120" w:type="dxa"/>
            </w:tcMar>
            <w:vAlign w:val="top"/>
          </w:tcPr>
          <w:p>
            <w:pPr>
              <w:spacing w:after="0"/>
            </w:pPr>
            <w:r>
              <w:rPr>
                <w:rFonts w:ascii="Aptos" w:hAnsi="Aptos"/>
                <w:sz w:val="18"/>
              </w:rPr>
              <w:t>external_service_unavailable</w:t>
            </w:r>
          </w:p>
        </w:tc>
        <w:tc>
          <w:tcPr>
            <w:tcW w:type="dxa" w:w="6912"/>
            <w:shd w:fill="FFFFFF"/>
            <w:tcMar>
              <w:top w:w="90" w:type="dxa"/>
              <w:left w:w="120" w:type="dxa"/>
              <w:bottom w:w="90" w:type="dxa"/>
              <w:right w:w="120" w:type="dxa"/>
            </w:tcMar>
            <w:vAlign w:val="top"/>
          </w:tcPr>
          <w:p>
            <w:pPr>
              <w:spacing w:after="0"/>
            </w:pPr>
            <w:r>
              <w:rPr>
                <w:rFonts w:ascii="Aptos" w:hAnsi="Aptos"/>
                <w:sz w:val="18"/>
              </w:rPr>
              <w:t>An approved external source or service could not be reached.</w:t>
            </w:r>
          </w:p>
        </w:tc>
      </w:tr>
    </w:tbl>
    <w:p>
      <w:pPr>
        <w:widowControl/>
        <w:spacing w:after="20"/>
      </w:pPr>
    </w:p>
    <w:p>
      <w:pPr>
        <w:pStyle w:val="Heading1"/>
        <w:widowControl/>
      </w:pPr>
      <w:r>
        <w:t>18 Sources and change control</w:t>
      </w:r>
    </w:p>
    <w:p>
      <w:pPr>
        <w:widowControl/>
      </w:pPr>
      <w:r>
        <w:t>Regulatory behavior changes over time. PandaX therefore stores a regulatory ruleset identifier on every calculated deadline, report revision, readiness check, and generated document.</w:t>
      </w:r>
    </w:p>
    <w:p>
      <w:pPr>
        <w:pStyle w:val="Heading2"/>
        <w:keepNext/>
        <w:widowControl/>
      </w:pPr>
      <w:r>
        <w:t>Primary sources used for this version</w:t>
      </w:r>
    </w:p>
    <w:p>
      <w:pPr>
        <w:pStyle w:val="SmallNote"/>
      </w:pPr>
      <w:r>
        <w:t>The ENISA Single Reporting Platform is scheduled to open on 11 September 2026. The product must treat this as a versioned external dependency and must not show the production portal as available before that date.</w:t>
      </w:r>
    </w:p>
    <w:p>
      <w:pPr>
        <w:pStyle w:val="ListBullet"/>
        <w:widowControl/>
      </w:pPr>
      <w:r>
        <w:t>Regulation EU 2024 2847 the Cyber Resilience Act on EUR Lex: https://eur-lex.europa.eu/eli/reg/2024/2847/oj</w:t>
      </w:r>
    </w:p>
    <w:p>
      <w:pPr>
        <w:pStyle w:val="ListBullet"/>
        <w:widowControl/>
      </w:pPr>
      <w:r>
        <w:t>ENISA Single Reporting Platform frequently asked questions, reviewed 8 September 2026: https://www.enisa.europa.eu/topics/product-security/single-reporting-platform-srp/frequently-asked-questions</w:t>
      </w:r>
    </w:p>
    <w:p>
      <w:pPr>
        <w:pStyle w:val="ListBullet"/>
        <w:widowControl/>
      </w:pPr>
      <w:r>
        <w:t>The PandaX Tech Trello board, all open and completed cards reviewed 8 September 2026: https://trello.com/b/CfMqRg9w/pandax-tech</w:t>
      </w:r>
    </w:p>
    <w:p>
      <w:pPr>
        <w:pStyle w:val="ListBullet"/>
        <w:widowControl/>
      </w:pPr>
      <w:r>
        <w:t>The PandaX repository at commit 563f16a, including 129 passing automated tests and 10 skipped environment dependent end to end tests.</w:t>
      </w:r>
    </w:p>
    <w:p>
      <w:pPr>
        <w:pStyle w:val="ListBullet"/>
        <w:widowControl/>
      </w:pPr>
      <w:r>
        <w:t>The prior CRA Compliance API draft version 0.1.</w:t>
      </w:r>
    </w:p>
    <w:p>
      <w:pPr>
        <w:pStyle w:val="Heading2"/>
        <w:widowControl/>
      </w:pPr>
      <w:r>
        <w:t>Change rules</w:t>
      </w:r>
    </w:p>
    <w:p>
      <w:pPr>
        <w:pStyle w:val="ListBullet"/>
        <w:widowControl/>
      </w:pPr>
      <w:r>
        <w:t>Compatible additions may be made inside version 1 and are recorded in a published change log.</w:t>
      </w:r>
    </w:p>
    <w:p>
      <w:pPr>
        <w:pStyle w:val="ListBullet"/>
        <w:widowControl/>
      </w:pPr>
      <w:r>
        <w:t>Removing or changing the meaning of an existing field or action requires a new API version.</w:t>
      </w:r>
    </w:p>
    <w:p>
      <w:pPr>
        <w:pStyle w:val="ListBullet"/>
        <w:widowControl/>
      </w:pPr>
      <w:r>
        <w:t>A legal rule change creates a new regulatory ruleset version even when the API version stays the same.</w:t>
      </w:r>
    </w:p>
    <w:p>
      <w:pPr>
        <w:pStyle w:val="ListBullet"/>
        <w:widowControl/>
      </w:pPr>
      <w:r>
        <w:t>GET /v1/capabilities lists active formats, services, and connectors, including managed SRP filing. Deprecated fields name their replacement and transition period.</w:t>
      </w:r>
    </w:p>
    <w:sectPr w:rsidR="00FC693F" w:rsidRPr="0006063C" w:rsidSect="00034616">
      <w:headerReference w:type="default" r:id="rId9"/>
      <w:footerReference w:type="default" r:id="rId10"/>
      <w:pgSz w:w="12240" w:h="15840"/>
      <w:pgMar w:top="1080"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PandaX Product API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F75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IExample">
    <w:name w:val="API Example"/>
    <w:pPr>
      <w:keepLines/>
      <w:spacing w:before="60" w:after="140"/>
      <w:ind w:left="288" w:right="144"/>
      <w:shd w:fill="F2F2F2"/>
    </w:pPr>
    <w:rPr>
      <w:rFonts w:ascii="Consolas" w:hAnsi="Consolas"/>
      <w:color w:val="1F1F1F"/>
      <w:sz w:val="17"/>
    </w:rPr>
  </w:style>
  <w:style w:type="paragraph" w:customStyle="1" w:styleId="SmallNote">
    <w:name w:val="Small Note"/>
    <w:pPr>
      <w:spacing w:after="100"/>
    </w:pPr>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PandaX Product API Specification</dc:title>
  <dc:subject>Final product contract for PandaX</dc:subject>
  <dc:creator>PandaX</dc:creator>
  <cp:keywords>PandaX, API, Cyber Resilience Act, SBOM, vulnerability, compliance</cp:keywords>
  <dc:description>Finalized from the API draft, current repository, and PandaX Tech roadmap.</dc:description>
  <cp:lastModifiedBy/>
  <cp:revision>1</cp:revision>
  <dcterms:created xsi:type="dcterms:W3CDTF">2013-12-23T23:15:00Z</dcterms:created>
  <dcterms:modified xsi:type="dcterms:W3CDTF">2013-12-23T23:15:00Z</dcterms:modified>
  <cp:category/>
</cp:coreProperties>
</file>