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left"/>
      </w:pPr>
      <w:r>
        <w:rPr>
          <w:b/>
          <w:bCs/>
          <w:color w:val="111827"/>
          <w:sz w:val="56"/>
          <w:szCs w:val="56"/>
        </w:rPr>
        <w:t xml:space="preserve">CRA Compliance Platform</w:t>
      </w:r>
    </w:p>
    <w:p>
      <w:pPr>
        <w:spacing w:after="40"/>
      </w:pPr>
      <w:r>
        <w:rPr>
          <w:color w:val="4F46E5"/>
          <w:sz w:val="30"/>
          <w:szCs w:val="30"/>
        </w:rPr>
        <w:t xml:space="preserve">API Specification — Initial Draft</w:t>
      </w:r>
    </w:p>
    <w:p>
      <w:pPr>
        <w:spacing w:after="400"/>
      </w:pPr>
      <w:r>
        <w:rPr>
          <w:i/>
          <w:iCs/>
          <w:color w:val="6B7280"/>
          <w:sz w:val="22"/>
          <w:szCs w:val="22"/>
        </w:rPr>
        <w:t xml:space="preserve">For makers of connected products: SBOM in, ENISA report out.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Document</w:t>
            </w:r>
          </w:p>
        </w:tc>
        <w:tc>
          <w:tcPr>
            <w:tcW w:type="dxa" w:w="6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REST API specification (initial scope)</w:t>
            </w:r>
          </w:p>
        </w:tc>
      </w:tr>
      <w:tr>
        <w:tc>
          <w:tcPr>
            <w:tcW w:type="dxa" w:w="24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6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v0.1 — draft for engineering review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Audience</w:t>
            </w:r>
          </w:p>
        </w:tc>
        <w:tc>
          <w:tcPr>
            <w:tcW w:type="dxa" w:w="6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Engineering team</w:t>
            </w:r>
          </w:p>
        </w:tc>
      </w:tr>
      <w:tr>
        <w:tc>
          <w:tcPr>
            <w:tcW w:type="dxa" w:w="24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6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Draft. Product name and final field choices are placeholders to be confirmed.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Scope</w:t>
            </w:r>
          </w:p>
        </w:tc>
        <w:tc>
          <w:tcPr>
            <w:tcW w:type="dxa" w:w="6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Part 1 SBOM Gathering · Part 2 Threat Monitoring · Part 3 Reports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1. Introduction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1.1 Purpose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This document defines the initial REST API for the CRA Compliance Platform. It is written for the engineering team as a build reference. It specifies the data model, cross-cutting conventions, and every endpoint across the product's three functional parts. Endpoint shapes and field names are a starting point and are expected to be refined during implementation.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1.2 What the product does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The platform helps manufacturers of products with digital elements comply with the EU Cyber Resilience Act (CRA) without operating a security team. It is organized in three parts, which also form the core API surface: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Part 1 — SBOM Gathering: </w:t>
      </w:r>
      <w:r>
        <w:t xml:space="preserve">ingest a Software Bill of Materials in any supported format (or generate one from an artifact) and normalize everything to CycloneDX 1.6 before anything else happens.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Part 2 — Threat Monitoring: </w:t>
      </w:r>
      <w:r>
        <w:t xml:space="preserve">continuously match the normalized components against vulnerability intelligence and surface actionable, prioritized findings.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Part 3 — Reports: </w:t>
      </w:r>
      <w:r>
        <w:t xml:space="preserve">generate and submit the CRA-required outputs — incident notifications to ENISA (24h / 72h / 14-day), plus the Annex VII technical file and EU Declaration of Conformity.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1.3 High-level flow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Product ─▶ ProductVersion ─▶ SBOM (any format)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    │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    ▼  normalize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CycloneDX 1.6 (canonical)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    │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    ▼  continuous match vs NVD / OSV / GHSA / KEV / EPSS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Findings (prioritized)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    │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reportable? ─────┼───────────────▶ Incident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     ▼                    │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Technical File (Annex VII)     ▼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Declaration of Conformity   ENISA reports (24h/72h/14d)</w:t>
      </w:r>
    </w:p>
    <w:p>
      <w:pPr>
        <w:spacing w:after="100"/>
      </w:pPr>
      <w:r>
        <w:rPr>
          <w:b w:val="false"/>
          <w:bCs w:val="false"/>
          <w:i/>
          <w:iCs/>
          <w:color w:val="6B7280"/>
        </w:rPr>
        <w:t xml:space="preserve">Normalization to CycloneDX 1.6 is the pivot of the whole system: Parts 2 and 3 only ever operate on the canonical CycloneDX 1.6 representation, never on the original uploaded format.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2. API conventions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2.1 Base URL &amp; versioning</w:t>
      </w:r>
    </w:p>
    <w:p>
      <w:pPr>
        <w:pBdr>
          <w:left w:val="single" w:color="4F46E5" w:sz="18" w:space="6"/>
        </w:pBdr>
        <w:shd w:fill="F3F4F6" w:color="auto" w:val="clear"/>
        <w:spacing w:after="12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https://api.example.com/v1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The major version is in the path (/v1). Breaking changes increment the major version; additive changes do not.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2.2 Authentication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All requests require a bearer token. Two mechanisms are supported: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API keys </w:t>
      </w:r>
      <w:r>
        <w:t xml:space="preserve">(server-to-server): sent as Authorization: Bearer &lt;key&gt;. Scoped per organization.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OAuth 2.0 client-credentials </w:t>
      </w:r>
      <w:r>
        <w:t xml:space="preserve">for partner integrations; returns a short-lived access token with the same header.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Authorization: Bearer sk_live_7f3a...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Content-Type: application/json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2.3 Content types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Requests and responses are application/json, except SBOM/artifact upload (multipart/form-data) and document/report downloads (application/pdf, application/json, or application/xml depending on the resource).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2.4 Asynchronous jobs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Long-running operations (SBOM generation from an artifact, format conversion, report rendering, ENISA submission) return 202 Accepted with a job object. Clients poll the job or subscribe to a webhook.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202 Accepted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"job_id": "job_01H...",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"type": "sbom.normalize",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"status": "processing",       // queued | processing | succeeded | failed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"resource": "/v1/sboms/sbom_01H...",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"created_at": "2026-09-08T10:00:00Z"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GET /v1/jobs/{job_id}</w:t>
      </w:r>
      <w:r>
        <w:t xml:space="preserve">  — poll status. On success, resource points to the finished object.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2.5 Pagination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List endpoints are cursor-paginated via limit (default 50, max 200) and cursor query params, returning data plus next_cursor (null when exhausted).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2.6 Errors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Errors use standard HTTP status codes and a consistent body: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"error": {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"code": "sbom_format_unsupported",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"message": "The uploaded format could not be detected or is not supported.",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"field": "file",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"request_id": "req_01H..."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2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200 / 201</w:t>
            </w:r>
          </w:p>
        </w:tc>
        <w:tc>
          <w:tcPr>
            <w:tcW w:type="dxa" w:w="7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Success / resource created</w:t>
            </w:r>
          </w:p>
        </w:tc>
      </w:tr>
      <w:tr>
        <w:tc>
          <w:tcPr>
            <w:tcW w:type="dxa" w:w="18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202</w:t>
            </w:r>
          </w:p>
        </w:tc>
        <w:tc>
          <w:tcPr>
            <w:tcW w:type="dxa" w:w="7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Accepted — async job started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7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Validation error (see error.code)</w:t>
            </w:r>
          </w:p>
        </w:tc>
      </w:tr>
      <w:tr>
        <w:tc>
          <w:tcPr>
            <w:tcW w:type="dxa" w:w="18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401 / 403</w:t>
            </w:r>
          </w:p>
        </w:tc>
        <w:tc>
          <w:tcPr>
            <w:tcW w:type="dxa" w:w="7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Missing/invalid token / not authorized for resource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404</w:t>
            </w:r>
          </w:p>
        </w:tc>
        <w:tc>
          <w:tcPr>
            <w:tcW w:type="dxa" w:w="7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Resource not found</w:t>
            </w:r>
          </w:p>
        </w:tc>
      </w:tr>
      <w:tr>
        <w:tc>
          <w:tcPr>
            <w:tcW w:type="dxa" w:w="18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7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Conflict (e.g., duplicate idempotency key, incompatible state)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7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Semantically invalid (e.g., SBOM parsed but fails schema)</w:t>
            </w:r>
          </w:p>
        </w:tc>
      </w:tr>
      <w:tr>
        <w:tc>
          <w:tcPr>
            <w:tcW w:type="dxa" w:w="18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429</w:t>
            </w:r>
          </w:p>
        </w:tc>
        <w:tc>
          <w:tcPr>
            <w:tcW w:type="dxa" w:w="7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Rate limited (Retry-After header returned)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5xx</w:t>
            </w:r>
          </w:p>
        </w:tc>
        <w:tc>
          <w:tcPr>
            <w:tcW w:type="dxa" w:w="7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Server error — safe to retry idempotent calls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2.7 Idempotency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POST endpoints accept an Idempotency-Key header. Repeated requests with the same key return the original result instead of creating duplicates.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2.8 Rate limiting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Per-organization limits are returned in X-RateLimit-Limit / X-RateLimit-Remaining headers. Exceeding them yields 429 with Retry-After.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2.9 Webhooks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Clients register webhook endpoints to receive events (new findings, KEV flags, reportable incidents, job completion). Payloads are signed (HMAC in the X-Signature header). Full event catalog in Appendix A.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3. Core data model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3.1 Resource hierarchy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Organization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└── Product                     (a product with digital elements)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├── classification        (CRA tier + conformity route)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└── ProductVersion        (a release / firmware version)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└── SBOM            (normalized to CycloneDX 1.6)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└── Component (dependencies)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      └── Finding   (component × vulnerability)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Product ─── Incident ─── Report   (early_warning | notification | final)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Product ─── Document              (technical_file | declaration_of_conformity)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3.2 Key objects</w:t>
      </w:r>
    </w:p>
    <w:p>
      <w:pPr>
        <w:pStyle w:val="Heading3"/>
        <w:spacing w:after="60" w:before="180"/>
      </w:pPr>
      <w:r>
        <w:rPr>
          <w:b/>
          <w:bCs/>
          <w:color w:val="111827"/>
        </w:rPr>
        <w:t xml:space="preserve">Product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2600"/>
        <w:gridCol w:w="1500"/>
        <w:gridCol w:w="4920"/>
      </w:tblGrid>
      <w:tr>
        <w:trPr>
          <w:tblHeader/>
        </w:trPr>
        <w:tc>
          <w:tcPr>
            <w:tcW w:type="dxa" w:w="26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4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e.g., prod_01H...</w:t>
            </w:r>
          </w:p>
        </w:tc>
      </w:tr>
      <w:tr>
        <w:tc>
          <w:tcPr>
            <w:tcW w:type="dxa" w:w="26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49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4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See 3.3 — CRA tier &amp; conformity route</w:t>
            </w:r>
          </w:p>
        </w:tc>
      </w:tr>
      <w:tr>
        <w:tc>
          <w:tcPr>
            <w:tcW w:type="dxa" w:w="26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support_period_end</w:t>
            </w:r>
          </w:p>
        </w:tc>
        <w:tc>
          <w:tcPr>
            <w:tcW w:type="dxa" w:w="15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49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End of the CRA support period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4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11827"/>
        </w:rPr>
        <w:t xml:space="preserve">SBOM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2300"/>
        <w:gridCol w:w="1300"/>
        <w:gridCol w:w="5420"/>
      </w:tblGrid>
      <w:tr>
        <w:trPr>
          <w:tblHeader/>
        </w:trPr>
        <w:tc>
          <w:tcPr>
            <w:tcW w:type="dxa" w:w="23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sbom_01H...</w:t>
            </w:r>
          </w:p>
        </w:tc>
      </w:tr>
      <w:tr>
        <w:tc>
          <w:tcPr>
            <w:tcW w:type="dxa" w:w="2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product_version_id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4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Parent version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source_format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Detected input format (see 4.2)</w:t>
            </w:r>
          </w:p>
        </w:tc>
      </w:tr>
      <w:tr>
        <w:tc>
          <w:tcPr>
            <w:tcW w:type="dxa" w:w="2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canonical_format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const</w:t>
            </w:r>
          </w:p>
        </w:tc>
        <w:tc>
          <w:tcPr>
            <w:tcW w:type="dxa" w:w="54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Always "CycloneDX-1.6"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received | normalizing | ready | failed</w:t>
            </w:r>
          </w:p>
        </w:tc>
      </w:tr>
      <w:tr>
        <w:tc>
          <w:tcPr>
            <w:tcW w:type="dxa" w:w="2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quality_score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54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0–100, computed on the normalized SBOM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component_count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5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conversion_report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54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Warnings, dropped/mapped fields (see 4.5)</w:t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11827"/>
        </w:rPr>
        <w:t xml:space="preserve">Finding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2100"/>
        <w:gridCol w:w="1300"/>
        <w:gridCol w:w="5620"/>
      </w:tblGrid>
      <w:tr>
        <w:trPr>
          <w:tblHeader/>
        </w:trPr>
        <w:tc>
          <w:tcPr>
            <w:tcW w:type="dxa" w:w="21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find_01H...</w:t>
            </w:r>
          </w:p>
        </w:tc>
      </w:tr>
      <w:tr>
        <w:tc>
          <w:tcPr>
            <w:tcW w:type="dxa" w:w="2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component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5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name, version, purl from the SBOM</w:t>
            </w:r>
          </w:p>
        </w:tc>
      </w:tr>
      <w:tr>
        <w:tc>
          <w:tcPr>
            <w:tcW w:type="dxa" w:w="2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vulnerability_id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CVE / GHSA / OSV id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cvss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5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base score + vector</w:t>
            </w:r>
          </w:p>
        </w:tc>
      </w:tr>
      <w:tr>
        <w:tc>
          <w:tcPr>
            <w:tcW w:type="dxa" w:w="2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epss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number</w:t>
            </w:r>
          </w:p>
        </w:tc>
        <w:tc>
          <w:tcPr>
            <w:tcW w:type="dxa" w:w="5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0–1 exploit-probability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kev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boolean</w:t>
            </w:r>
          </w:p>
        </w:tc>
        <w:tc>
          <w:tcPr>
            <w:tcW w:type="dxa" w:w="5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On CISA Known Exploited Vulns list</w:t>
            </w:r>
          </w:p>
        </w:tc>
      </w:tr>
      <w:tr>
        <w:tc>
          <w:tcPr>
            <w:tcW w:type="dxa" w:w="2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low | medium | high | critical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open | under_investigation | not_affected | fixed | reportable</w:t>
            </w:r>
          </w:p>
        </w:tc>
      </w:tr>
      <w:tr>
        <w:tc>
          <w:tcPr>
            <w:tcW w:type="dxa" w:w="2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vex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5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VEX justification when triaged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first_seen / last_seen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5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60" w:before="180"/>
      </w:pPr>
      <w:r>
        <w:rPr>
          <w:b/>
          <w:bCs/>
          <w:color w:val="111827"/>
        </w:rPr>
        <w:t xml:space="preserve">Incident &amp; Report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2500"/>
        <w:gridCol w:w="1300"/>
        <w:gridCol w:w="5220"/>
      </w:tblGrid>
      <w:tr>
        <w:trPr>
          <w:tblHeader/>
        </w:trPr>
        <w:tc>
          <w:tcPr>
            <w:tcW w:type="dxa" w:w="25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3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incident.id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inc_01H...</w:t>
            </w:r>
          </w:p>
        </w:tc>
      </w:tr>
      <w:tr>
        <w:tc>
          <w:tcPr>
            <w:tcW w:type="dxa" w:w="25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incident.trigger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actively_exploited_vuln | severe_incident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incident.finding_id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string</w:t>
            </w:r>
          </w:p>
        </w:tc>
        <w:tc>
          <w:tcPr>
            <w:tcW w:type="dxa" w:w="5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Optional link to originating finding</w:t>
            </w:r>
          </w:p>
        </w:tc>
      </w:tr>
      <w:tr>
        <w:tc>
          <w:tcPr>
            <w:tcW w:type="dxa" w:w="25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incident.detected_at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datetime</w:t>
            </w:r>
          </w:p>
        </w:tc>
        <w:tc>
          <w:tcPr>
            <w:tcW w:type="dxa" w:w="5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Starts the reporting clock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report.type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early_warning (24h) | notification (72h) | final (14d)</w:t>
            </w:r>
          </w:p>
        </w:tc>
      </w:tr>
      <w:tr>
        <w:tc>
          <w:tcPr>
            <w:tcW w:type="dxa" w:w="25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report.status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draft | submitted | acknowledged | rejected</w:t>
            </w:r>
          </w:p>
        </w:tc>
      </w:tr>
      <w:tr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report.destination</w:t>
            </w:r>
          </w:p>
        </w:tc>
        <w:tc>
          <w:tcPr>
            <w:tcW w:type="dxa" w:w="1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52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enisa_srp | national_csirt</w:t>
            </w:r>
          </w:p>
        </w:tc>
      </w:tr>
      <w:tr>
        <w:tc>
          <w:tcPr>
            <w:tcW w:type="dxa" w:w="25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report.receipt</w:t>
            </w:r>
          </w:p>
        </w:tc>
        <w:tc>
          <w:tcPr>
            <w:tcW w:type="dxa" w:w="13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object</w:t>
            </w:r>
          </w:p>
        </w:tc>
        <w:tc>
          <w:tcPr>
            <w:tcW w:type="dxa" w:w="52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Authority reference id + timestamp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4F46E5"/>
        </w:rPr>
        <w:t xml:space="preserve">3.3 Enumerations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6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CRA tier</w:t>
            </w:r>
          </w:p>
        </w:tc>
        <w:tc>
          <w:tcPr>
            <w:tcW w:type="dxa" w:w="6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default · important_class_i · important_class_ii · critical</w:t>
            </w:r>
          </w:p>
        </w:tc>
      </w:tr>
      <w:tr>
        <w:tc>
          <w:tcPr>
            <w:tcW w:type="dxa" w:w="24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Conformity route</w:t>
            </w:r>
          </w:p>
        </w:tc>
        <w:tc>
          <w:tcPr>
            <w:tcW w:type="dxa" w:w="6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self_assessment · harmonised_standards · third_party (notified body) · eucc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Finding status</w:t>
            </w:r>
          </w:p>
        </w:tc>
        <w:tc>
          <w:tcPr>
            <w:tcW w:type="dxa" w:w="6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open · under_investigation · not_affected · fixed · reportable</w:t>
            </w:r>
          </w:p>
        </w:tc>
      </w:tr>
      <w:tr>
        <w:tc>
          <w:tcPr>
            <w:tcW w:type="dxa" w:w="24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VEX status</w:t>
            </w:r>
          </w:p>
        </w:tc>
        <w:tc>
          <w:tcPr>
            <w:tcW w:type="dxa" w:w="6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not_affected · affected · fixed · under_investigation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 type</w:t>
            </w:r>
          </w:p>
        </w:tc>
        <w:tc>
          <w:tcPr>
            <w:tcW w:type="dxa" w:w="6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early_warning · notification · final</w:t>
            </w:r>
          </w:p>
        </w:tc>
      </w:tr>
      <w:tr>
        <w:tc>
          <w:tcPr>
            <w:tcW w:type="dxa" w:w="24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6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technical_file · declaration_of_conformity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4. Part 1 — SBOM Gathering &amp; Normalization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4.1 Overview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Part 1 accepts an SBOM in any supported format — or generates one from an uploaded artifact — and converts it to the canonical CycloneDX 1.6 representation. No component in Parts 2 or 3 reads the original file; they read only the normalized SBOM. Conversion is asynchronous and produces a conversion report describing any fields that were mapped, defaulted, or could not be represented.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4.2 Supported input formats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1700"/>
        <w:gridCol w:w="5320"/>
        <w:gridCol w:w="2000"/>
      </w:tblGrid>
      <w:tr>
        <w:trPr>
          <w:tblHeader/>
        </w:trPr>
        <w:tc>
          <w:tcPr>
            <w:tcW w:type="dxa" w:w="17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53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Versions / syntaxes accepted</w:t>
            </w:r>
          </w:p>
        </w:tc>
        <w:tc>
          <w:tcPr>
            <w:tcW w:type="dxa" w:w="20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CycloneDX</w:t>
            </w:r>
          </w:p>
        </w:tc>
        <w:tc>
          <w:tcPr>
            <w:tcW w:type="dxa" w:w="5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1.2, 1.3, 1.4, 1.5, 1.6 — JSON &amp; XML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Up-converted to 1.6 JSON</w:t>
            </w:r>
          </w:p>
        </w:tc>
      </w:tr>
      <w:tr>
        <w:tc>
          <w:tcPr>
            <w:tcW w:type="dxa" w:w="17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SPDX</w:t>
            </w:r>
          </w:p>
        </w:tc>
        <w:tc>
          <w:tcPr>
            <w:tcW w:type="dxa" w:w="53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2.2, 2.3 — JSON, tag-value, RDF/XML</w:t>
            </w:r>
          </w:p>
        </w:tc>
        <w:tc>
          <w:tcPr>
            <w:tcW w:type="dxa" w:w="20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Mapped to CycloneDX 1.6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SWID</w:t>
            </w:r>
          </w:p>
        </w:tc>
        <w:tc>
          <w:tcPr>
            <w:tcW w:type="dxa" w:w="53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ISO/IEC 19770-2 tags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Mapped to CycloneDX 1.6</w:t>
            </w:r>
          </w:p>
        </w:tc>
      </w:tr>
      <w:tr>
        <w:tc>
          <w:tcPr>
            <w:tcW w:type="dxa" w:w="17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Generated</w:t>
            </w:r>
          </w:p>
        </w:tc>
        <w:tc>
          <w:tcPr>
            <w:tcW w:type="dxa" w:w="53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From artifact (see 4.4)</w:t>
            </w:r>
          </w:p>
        </w:tc>
        <w:tc>
          <w:tcPr>
            <w:tcW w:type="dxa" w:w="20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Produced directly as 1.6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</w:rPr>
        <w:t xml:space="preserve">Auto-detection is attempted when source_format is omitted. Unknown or corrupt inputs return 400 sbom_format_unsupported.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4.3 Endpoints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/products/{id}/versions/{vid}/sboms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Upload an existing SBOM file (multipart) or inline JSON. Returns 202 with a normalization job; the resulting SBOM has status normalizing → ready.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POST /v1/products/prod_01H/versions/ver_01H/sboms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Content-Type: multipart/form-data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file=@bom.spdx.json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source_format=spdx-2.3        // optional; auto-detected if omitted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── 202 ──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"job_id": "job_01H...", "type": "sbom.normalize",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"resource": "/v1/sboms/sbom_01H...", "status": "processing" }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/products/{id}/versions/{vid}/sboms:generate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Generate an SBOM from an uploaded artifact (firmware image, container image, or source archive) using built-in analyzers, then normalize to CycloneDX 1.6. Async.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POST .../sboms:generate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Content-Type: multipart/form-data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artifact=@device-fw-2.1.bin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artifact_type=firmware        // firmware | container | source_archive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/sboms/{sbomId}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Retrieve the SBOM metadata and canonical CycloneDX 1.6 document.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/sboms/{sbomId}/components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List normalized components (paginated). Each item includes name, version, purl, licenses, and hashes.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/sboms/{sbomId}/download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Download the canonical SBOM. Query format=cyclonedx-1.6-json (default) or cyclonedx-1.6-xml. The original upload is retrievable with format=original.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/sboms/{sbomId}/conversion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Return the conversion report: detected source format, mapped fields, defaulted values, and anything that could not be represented in CycloneDX 1.6.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"source_format": "spdx-2.3",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"canonical_format": "CycloneDX-1.6",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"components_in": 214, "components_out": 214,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"warnings": [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"code": "field_defaulted", "field": "component.supplier",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"detail": "Missing in SPDX; set to 'unknown'." }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],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"quality_score": 87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/sboms:validate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Stateless validation + quality scoring of an SBOM without storing it. Useful for CI checks before release. Returns schema validity and a 0–100 quality score.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DELETE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/sboms/{sbomId}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Delete an SBOM and its derived findings. Blocked (409) if the SBOM is referenced by a submitted report, to preserve the 10-year retention obligation.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5. Part 2 — Threat Monitoring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5.1 Overview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Once an SBOM reaches status ready, its components are continuously matched against vulnerability intelligence. New matches create Findings; findings are re-evaluated as intelligence changes (e.g., a CVE gets added to KEV, or its EPSS score rises). The platform pushes events via webhooks and raises a reportable signal when a finding meets CRA incident criteria.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5.2 Intelligence sources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NVD (CVE records and CVSS)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OSV.dev and GitHub Security Advisories (open-source ecosystems)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CISA KEV (known exploited vulnerabilities — drives the reportable trigger)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EPSS from FIRST.org (exploitation probability for prioritization)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5.3 Endpoints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/products/{id}/findings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List findings for a product. Filters: severity, status, kev=true, epss_min, component, since. Sorted by risk (KEV, then EPSS, then CVSS) by default.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/findings/{findingId}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Full finding detail, including the affected component, vulnerability enrichment, remediation guidance, and current VEX/triage state.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"id": "find_01H...", "product_id": "prod_01H...",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"component": { "name": "libexpat", "version": "2.4.1",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"purl": "pkg:generic/libexpat@2.4.1" },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"vulnerability_id": "CVE-2024-XXULV",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"cvss": { "base_score": 9.8, "vector": "AV:N/AC:L/..." },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"epss": 0.86, "kev": true, "severity": "critical",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"status": "reportable",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"remediation": "Upgrade libexpat to &gt;= 2.6.2",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"first_seen": "2026-09-08T09:12:00Z"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PATCH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/findings/{findingId}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Triage a finding: set status and attach a VEX justification (e.g., not_affected because the vulnerable code path is unreachable). VEX data feeds both the technical file and any report.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PATCH /v1/findings/find_01H...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"status": "not_affected",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"vex": { "status": "not_affected",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"justification": "vulnerable_code_not_in_execute_path",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"detail": "Function not compiled into shipped image." } }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/ PUT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/products/{id}/monitoring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Read or update monitoring configuration for a product: which severity levels raise alerts, auto-reportable thresholds (default: any KEV match), and notification routing.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/products/{id}/vex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Export the aggregated VEX document (CycloneDX VEX) for all triaged findings on the product.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/vulnerabilities/{vulnId}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Enrichment lookup for a single vulnerability id (CVE/GHSA/OSV): description, CVSS, EPSS, KEV status, references, and known fixed versions.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/ GET / DELETE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/webhooks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Manage webhook subscriptions. Relevant Part-2 events: finding.created, finding.kev_flagged, finding.severity_changed, finding.reportable. See Appendix A.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6. Part 3 — Reports &amp; Conformity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6.1 Overview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Part 3 turns monitoring output and product data into the CRA's required paperwork and filings: the Article 14 incident reports to ENISA (24h early warning, 72h notification, 14-day final report) and the conformity artifacts (Annex VII technical file and the EU Declaration of Conformity). Report generation is async; submission returns an authority receipt.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6.2 Product classification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/products/{id}/classify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Determine the product's CRA tier and conformity route from a guided questionnaire (core functionality per the Commission's classification rules). Returns the classification object stored on the product.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POST /v1/products/prod_01H/classify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"answers": { "core_functionality": "router",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"handles_personal_data": true, "network_facing": true } }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── 200 ──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"tier": "important_class_i",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"conformity_route": "harmonised_standards",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"rationale": "Networked device in Annex III important category." }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6.3 Incident reporting (Article 14)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/incidents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Open an incident. detected_at starts the reporting clock; the platform computes the 24h / 72h / 14-day deadlines and (optionally) links the originating finding.</w:t>
      </w:r>
    </w:p>
    <w:p>
      <w:pPr>
        <w:pBdr>
          <w:left w:val="single" w:color="4F46E5" w:sz="18" w:space="6"/>
        </w:pBdr>
        <w:shd w:fill="F3F4F6" w:color="auto" w:val="clear"/>
        <w:spacing w:after="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POST /v1/incidents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"product_id": "prod_01H...",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"trigger": "actively_exploited_vuln",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"finding_id": "find_01H...",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"detected_at": "2026-09-08T08:00:00Z" }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── 201 ──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"id": "inc_01H...", "deadlines": {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"early_warning": "2026-09-09T08:00:00Z",</w:t>
      </w:r>
    </w:p>
    <w:p>
      <w:pPr>
        <w:pBdr>
          <w:left w:val="single" w:color="4F46E5" w:sz="18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"notification":  "2026-09-11T08:00:00Z",</w:t>
      </w:r>
    </w:p>
    <w:p>
      <w:pPr>
        <w:pBdr>
          <w:left w:val="single" w:color="4F46E5" w:sz="18" w:space="6"/>
        </w:pBdr>
        <w:shd w:fill="F3F4F6" w:color="auto" w:val="clear"/>
        <w:spacing w:after="120" w:before="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"final":         "2026-09-22T08:00:00Z" } }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/incidents/{id}/reports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Generate a report of a given type. The platform pre-fills it from the incident, product, and finding data; the draft is editable before submission.</w:t>
      </w:r>
    </w:p>
    <w:p>
      <w:pPr>
        <w:pBdr>
          <w:left w:val="single" w:color="4F46E5" w:sz="18" w:space="6"/>
        </w:pBdr>
        <w:shd w:fill="F3F4F6" w:color="auto" w:val="clear"/>
        <w:spacing w:after="12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 "early_warning" }   // early_warning | notification | final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/incidents/{id}/reports/{rid}:submit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Submit a drafted report to its destination (ENISA Single Reporting Platform and/or the relevant national CSIRT). Async; on success the report gains a receipt with the authority reference id.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/incidents/{id}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Return the incident with its deadline timers, all reports and their statuses, and submission receipts.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6.4 Conformity documents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POST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/products/{id}/documents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Generate a technical_file (Annex VII) or declaration_of_conformity, assembled from the product, its latest ready SBOM, findings/VEX, and classification. Returns an async job; the finished document is downloadable as PDF (and structured JSON).</w:t>
      </w:r>
    </w:p>
    <w:p>
      <w:pPr>
        <w:pBdr>
          <w:left w:val="single" w:color="4F46E5" w:sz="18" w:space="6"/>
        </w:pBdr>
        <w:shd w:fill="F3F4F6" w:color="auto" w:val="clear"/>
        <w:spacing w:after="120" w:before="40" w:line="240"/>
        <w:ind w:lef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 "technical_file" }   // technical_file | declaration_of_conformity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/documents/{docId}/download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Download a generated document. Query format=pdf (default) or format=json. Generated documents are retained for the CRA retention period (10 years or the support period).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6.5 Compliance status</w:t>
      </w:r>
    </w:p>
    <w:p>
      <w:pPr>
        <w:pStyle w:val="Heading3"/>
        <w:spacing w:after="60" w:before="200"/>
      </w:pPr>
      <w:r>
        <w:rPr>
          <w:rFonts w:ascii="Consolas" w:cs="Consolas" w:eastAsia="Consolas" w:hAnsi="Consolas"/>
          <w:b/>
          <w:bCs/>
          <w:color w:val="4F46E5"/>
        </w:rPr>
        <w:t xml:space="preserve">GET  </w:t>
      </w: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/products/{id}/compliance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F2937"/>
        </w:rPr>
        <w:t xml:space="preserve">Aggregate status for a dashboard: classification present, SBOM ready, open reportable findings, outstanding report deadlines, and whether the technical file and Declaration of Conformity are current.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11827"/>
        </w:rPr>
        <w:t xml:space="preserve">7. Appendices</w:t>
      </w:r>
    </w:p>
    <w:p>
      <w:pPr>
        <w:pStyle w:val="Heading2"/>
        <w:spacing w:after="100" w:before="260"/>
      </w:pPr>
      <w:r>
        <w:rPr>
          <w:b/>
          <w:bCs/>
          <w:color w:val="4F46E5"/>
        </w:rPr>
        <w:t xml:space="preserve">Appendix A — Webhook events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0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sbom.ready</w:t>
            </w:r>
          </w:p>
        </w:tc>
        <w:tc>
          <w:tcPr>
            <w:tcW w:type="dxa" w:w="60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 SBOM finishes normalization to CycloneDX 1.6</w:t>
            </w:r>
          </w:p>
        </w:tc>
      </w:tr>
      <w:tr>
        <w:tc>
          <w:tcPr>
            <w:tcW w:type="dxa" w:w="30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sbom.failed</w:t>
            </w:r>
          </w:p>
        </w:tc>
        <w:tc>
          <w:tcPr>
            <w:tcW w:type="dxa" w:w="60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Normalization/generation fails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finding.created</w:t>
            </w:r>
          </w:p>
        </w:tc>
        <w:tc>
          <w:tcPr>
            <w:tcW w:type="dxa" w:w="60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new vulnerability match is found</w:t>
            </w:r>
          </w:p>
        </w:tc>
      </w:tr>
      <w:tr>
        <w:tc>
          <w:tcPr>
            <w:tcW w:type="dxa" w:w="30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finding.kev_flagged</w:t>
            </w:r>
          </w:p>
        </w:tc>
        <w:tc>
          <w:tcPr>
            <w:tcW w:type="dxa" w:w="60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finding's CVE is added to CISA KEV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finding.severity_changed</w:t>
            </w:r>
          </w:p>
        </w:tc>
        <w:tc>
          <w:tcPr>
            <w:tcW w:type="dxa" w:w="60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CVSS/EPSS/severity is re-evaluated</w:t>
            </w:r>
          </w:p>
        </w:tc>
      </w:tr>
      <w:tr>
        <w:tc>
          <w:tcPr>
            <w:tcW w:type="dxa" w:w="30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finding.reportable</w:t>
            </w:r>
          </w:p>
        </w:tc>
        <w:tc>
          <w:tcPr>
            <w:tcW w:type="dxa" w:w="60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finding meets CRA incident criteria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incident.deadline_approaching</w:t>
            </w:r>
          </w:p>
        </w:tc>
        <w:tc>
          <w:tcPr>
            <w:tcW w:type="dxa" w:w="60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24h/72h/14-day deadline is near</w:t>
            </w:r>
          </w:p>
        </w:tc>
      </w:tr>
      <w:tr>
        <w:tc>
          <w:tcPr>
            <w:tcW w:type="dxa" w:w="30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report.submitted</w:t>
            </w:r>
          </w:p>
        </w:tc>
        <w:tc>
          <w:tcPr>
            <w:tcW w:type="dxa" w:w="60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 report is accepted by the authority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job.completed</w:t>
            </w:r>
          </w:p>
        </w:tc>
        <w:tc>
          <w:tcPr>
            <w:tcW w:type="dxa" w:w="60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Any async job finishes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4F46E5"/>
        </w:rPr>
        <w:t xml:space="preserve">Appendix B — Selected error codes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3100"/>
        <w:gridCol w:w="1200"/>
        <w:gridCol w:w="4720"/>
      </w:tblGrid>
      <w:tr>
        <w:trPr>
          <w:tblHeader/>
        </w:trPr>
        <w:tc>
          <w:tcPr>
            <w:tcW w:type="dxa" w:w="31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sbom_format_unsupported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4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Input format not detected/supported</w:t>
            </w:r>
          </w:p>
        </w:tc>
      </w:tr>
      <w:tr>
        <w:tc>
          <w:tcPr>
            <w:tcW w:type="dxa" w:w="3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sbom_schema_invalid</w:t>
            </w:r>
          </w:p>
        </w:tc>
        <w:tc>
          <w:tcPr>
            <w:tcW w:type="dxa" w:w="12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422</w:t>
            </w:r>
          </w:p>
        </w:tc>
        <w:tc>
          <w:tcPr>
            <w:tcW w:type="dxa" w:w="47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Parsed but fails source-schema validation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sbom_not_ready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4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Operation needs a normalized SBOM</w:t>
            </w:r>
          </w:p>
        </w:tc>
      </w:tr>
      <w:tr>
        <w:tc>
          <w:tcPr>
            <w:tcW w:type="dxa" w:w="3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classification_incomplete</w:t>
            </w:r>
          </w:p>
        </w:tc>
        <w:tc>
          <w:tcPr>
            <w:tcW w:type="dxa" w:w="12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400</w:t>
            </w:r>
          </w:p>
        </w:tc>
        <w:tc>
          <w:tcPr>
            <w:tcW w:type="dxa" w:w="47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Missing answers to classify the product</w:t>
            </w:r>
          </w:p>
        </w:tc>
      </w:tr>
      <w:tr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report_deadline_passed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4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Attempt to submit after the CRA deadline (still allowed, flagged late)</w:t>
            </w:r>
          </w:p>
        </w:tc>
      </w:tr>
      <w:tr>
        <w:tc>
          <w:tcPr>
            <w:tcW w:type="dxa" w:w="31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retention_locked</w:t>
            </w:r>
          </w:p>
        </w:tc>
        <w:tc>
          <w:tcPr>
            <w:tcW w:type="dxa" w:w="12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409</w:t>
            </w:r>
          </w:p>
        </w:tc>
        <w:tc>
          <w:tcPr>
            <w:tcW w:type="dxa" w:w="47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Delete blocked by retention obligation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4F46E5"/>
        </w:rPr>
        <w:t xml:space="preserve">Appendix C — Glossary</w:t>
      </w:r>
    </w:p>
    <w:tbl>
      <w:tblPr>
        <w:tblW w:type="dxa" w:w="902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4"/>
          <w:insideV w:val="single" w:color="E5E7EB" w:sz="4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20"/>
            <w:shd w:fill="4F46E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SBOM</w:t>
            </w:r>
          </w:p>
        </w:tc>
        <w:tc>
          <w:tcPr>
            <w:tcW w:type="dxa" w:w="6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Software Bill of Materials — inventory of components in a product</w:t>
            </w:r>
          </w:p>
        </w:tc>
      </w:tr>
      <w:tr>
        <w:tc>
          <w:tcPr>
            <w:tcW w:type="dxa" w:w="22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CycloneDX 1.6</w:t>
            </w:r>
          </w:p>
        </w:tc>
        <w:tc>
          <w:tcPr>
            <w:tcW w:type="dxa" w:w="68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The canonical SBOM format all inputs are converted to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VEX</w:t>
            </w:r>
          </w:p>
        </w:tc>
        <w:tc>
          <w:tcPr>
            <w:tcW w:type="dxa" w:w="6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Vulnerability Exploitability eXchange — states whether a product is actually affected</w:t>
            </w:r>
          </w:p>
        </w:tc>
      </w:tr>
      <w:tr>
        <w:tc>
          <w:tcPr>
            <w:tcW w:type="dxa" w:w="22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EPSS</w:t>
            </w:r>
          </w:p>
        </w:tc>
        <w:tc>
          <w:tcPr>
            <w:tcW w:type="dxa" w:w="68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Exploit Prediction Scoring System — probability a CVE is exploited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KEV</w:t>
            </w:r>
          </w:p>
        </w:tc>
        <w:tc>
          <w:tcPr>
            <w:tcW w:type="dxa" w:w="6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CISA Known Exploited Vulnerabilities catalog</w:t>
            </w:r>
          </w:p>
        </w:tc>
      </w:tr>
      <w:tr>
        <w:tc>
          <w:tcPr>
            <w:tcW w:type="dxa" w:w="22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ENISA SRP</w:t>
            </w:r>
          </w:p>
        </w:tc>
        <w:tc>
          <w:tcPr>
            <w:tcW w:type="dxa" w:w="68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ENISA Single Reporting Platform — destination for Article 14 reports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Annex VII</w:t>
            </w:r>
          </w:p>
        </w:tc>
        <w:tc>
          <w:tcPr>
            <w:tcW w:type="dxa" w:w="68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CRA technical documentation ("technical file")</w:t>
            </w:r>
          </w:p>
        </w:tc>
      </w:tr>
      <w:tr>
        <w:tc>
          <w:tcPr>
            <w:tcW w:type="dxa" w:w="220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DoC</w:t>
            </w:r>
          </w:p>
        </w:tc>
        <w:tc>
          <w:tcPr>
            <w:tcW w:type="dxa" w:w="6820"/>
            <w:shd w:fill="F8F8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color w:val="1F2937"/>
                <w:sz w:val="18"/>
                <w:szCs w:val="18"/>
              </w:rPr>
              <w:t xml:space="preserve">EU Declaration of Conformity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4F46E5"/>
        </w:rPr>
        <w:t xml:space="preserve">Appendix D — Open questions for the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Confirm the exact SBOM input formats to support at launch (this draft assumes CycloneDX, SPDX, SWID).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Build vs. integrate for firmware SBOM generation (Part 1 :generate) — evaluate existing analyzers.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ENISA SRP submission: confirm the available machine interface vs. filing-package export for manual upload at launch.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Auth model for launch: API keys only, or OAuth client-credentials from day one?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2937"/>
        </w:rPr>
        <w:t xml:space="preserve">Multi-tenant boundaries and per-product vs. per-organization rate limits.</w:t>
      </w:r>
    </w:p>
    <w:p>
      <w:pPr>
        <w:pBdr>
          <w:bottom w:val="single" w:color="E5E7EB" w:sz="6" w:space="4"/>
        </w:pBdr>
        <w:spacing w:after="120" w:before="80"/>
      </w:pPr>
    </w:p>
    <w:p>
      <w:pPr>
        <w:spacing w:after="100"/>
      </w:pPr>
      <w:r>
        <w:rPr>
          <w:b w:val="false"/>
          <w:bCs w:val="false"/>
          <w:i/>
          <w:iCs/>
          <w:color w:val="6B7280"/>
        </w:rPr>
        <w:t xml:space="preserve">End of initial API specification (v0.1). This is a draft for engineering review; field names, enums, and endpoint shapes are expected to evolve during implementation.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4F46E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</w:pPr>
    <w:rPr>
      <w:b/>
      <w:bCs/>
      <w:color w:val="11182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 Compliance Platform — API Specification</dc:title>
  <dc:creator>CRA Compliance Platform</dc:creator>
  <cp:lastModifiedBy>Un-named</cp:lastModifiedBy>
  <cp:revision>1</cp:revision>
  <dcterms:created xsi:type="dcterms:W3CDTF">2026-09-08T04:28:48.460Z</dcterms:created>
  <dcterms:modified xsi:type="dcterms:W3CDTF">2026-09-08T04:28:48.475Z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