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color w:val="1F6F54"/>
          <w:sz w:val="30"/>
          <w:szCs w:val="30"/>
        </w:rPr>
        <w:t>AiLux CCI — Controllore Centrale di Impianto</w:t>
      </w:r>
    </w:p>
    <w:p>
      <w:pPr>
        <w:pStyle w:val="Normal"/>
        <w:spacing w:before="0" w:after="200"/>
        <w:rPr/>
      </w:pPr>
      <w:r>
        <w:rPr>
          <w:rFonts w:eastAsia="Calibri" w:cs="Calibri"/>
          <w:sz w:val="24"/>
          <w:szCs w:val="24"/>
        </w:rPr>
        <w:t>Cybersecurity, IEC 61850 Data Model, ACSI Services and Communication Timing Requirements</w:t>
      </w:r>
    </w:p>
    <w:p>
      <w:pPr>
        <w:pStyle w:val="Normal"/>
        <w:spacing w:before="0" w:after="160"/>
        <w:rPr/>
      </w:pPr>
      <w:r>
        <w:rPr>
          <w:rFonts w:eastAsia="Calibri" w:cs="Calibri"/>
          <w:b w:val="false"/>
          <w:bCs w:val="false"/>
          <w:color w:val="666666"/>
          <w:sz w:val="19"/>
          <w:szCs w:val="19"/>
        </w:rPr>
        <w:t>Extracted and consolidated from CEI 0-16:2023-05 V2, Annex T ("Information exchange based on IEC 61850")</w:t>
      </w:r>
    </w:p>
    <w:p>
      <w:pPr>
        <w:pStyle w:val="Normal"/>
        <w:spacing w:before="0" w:after="160"/>
        <w:rPr/>
      </w:pPr>
      <w:r>
        <w:rPr>
          <w:rFonts w:eastAsia="Calibri" w:cs="Calibri"/>
          <w:b w:val="false"/>
          <w:bCs w:val="false"/>
          <w:color w:val="666666"/>
          <w:sz w:val="19"/>
          <w:szCs w:val="19"/>
        </w:rPr>
        <w:t>Source document: Estratto CEI 0-16 — Allegato T (English translation, CT 316 / CT 57), publication date 2024-12</w:t>
      </w:r>
    </w:p>
    <w:p>
      <w:pPr>
        <w:pStyle w:val="Normal"/>
        <w:pBdr>
          <w:top w:val="single" w:sz="6" w:space="0" w:color="B03A2E"/>
          <w:left w:val="single" w:sz="6" w:space="0" w:color="B03A2E"/>
          <w:bottom w:val="single" w:sz="6" w:space="0" w:color="B03A2E"/>
          <w:right w:val="single" w:sz="6" w:space="0" w:color="B03A2E"/>
        </w:pBdr>
        <w:shd w:val="clear" w:fill="FBEAE8"/>
        <w:spacing w:before="120" w:after="240"/>
        <w:rPr/>
      </w:pPr>
      <w:r>
        <w:rPr>
          <w:rFonts w:eastAsia="Calibri" w:cs="Calibri"/>
          <w:b/>
          <w:bCs/>
          <w:color w:val="B03A2E"/>
          <w:sz w:val="20"/>
          <w:szCs w:val="20"/>
        </w:rPr>
        <w:t>Status: COMPLETE for Annex T. This document is the companion to "CCI – Mandatory Measurements &amp; Timing (from CEI 0-16 Annex O)" and resolves the items listed there under "13. Open Items — Pending Annex T": IEC 61850 logical-node/data-model mapping, GOOSE/MMS timing performance classes, and the full cybersecurity architecture (PKI, TLS, RBAC, logging). Read together, the two documents form the complete mandatory-requirements baseline for the CCI firmware.</w:t>
      </w:r>
    </w:p>
    <w:p>
      <w:pPr>
        <w:pStyle w:val="Normal"/>
        <w:spacing w:before="0" w:after="160"/>
        <w:rPr>
          <w:rFonts w:ascii="Calibri" w:hAnsi="Calibri" w:eastAsia="Calibri" w:cs="Calibri"/>
          <w:b w:val="false"/>
          <w:bCs w:val="false"/>
          <w:color w:val="000000"/>
          <w:sz w:val="19"/>
          <w:szCs w:val="19"/>
        </w:rPr>
      </w:pPr>
      <w:r>
        <w:rPr/>
      </w:r>
    </w:p>
    <w:p>
      <w:pPr>
        <w:pStyle w:val="Heading1"/>
        <w:spacing w:before="320" w:after="160"/>
        <w:rPr/>
      </w:pPr>
      <w:r>
        <w:rPr>
          <w:rFonts w:eastAsia="Calibri" w:cs="Calibri" w:ascii="Calibri" w:hAnsi="Calibri"/>
          <w:b/>
          <w:bCs/>
          <w:color w:val="1F6F54"/>
          <w:sz w:val="28"/>
          <w:szCs w:val="28"/>
        </w:rPr>
        <w:t>1. Purpose and Scope of This Document</w:t>
      </w:r>
    </w:p>
    <w:p>
      <w:pPr>
        <w:pStyle w:val="Normal"/>
        <w:spacing w:before="0" w:after="160"/>
        <w:rPr/>
      </w:pPr>
      <w:r>
        <w:rPr>
          <w:rFonts w:eastAsia="Calibri" w:cs="Calibri"/>
          <w:b w:val="false"/>
          <w:bCs w:val="false"/>
          <w:color w:val="000000"/>
          <w:sz w:val="21"/>
          <w:szCs w:val="21"/>
        </w:rPr>
        <w:t>This document consolidates every mandatory numerical and structural requirement stated in Annex T of CEI 0-16:2023-05 V2 ("Information exchange based on IEC 61850") that the CCI AiLux firmware must respect: communication timing and performance classes, measurement periodicity, IEC 61850 data-model structure (Logical Devices/Nodes/Data Objects), ACSI services, role-based access control, and the full cybersecurity profile (PKI, TLS, certificate management, logging, time sync, network segregation).</w:t>
      </w:r>
    </w:p>
    <w:p>
      <w:pPr>
        <w:pStyle w:val="Normal"/>
        <w:spacing w:before="0" w:after="160"/>
        <w:rPr/>
      </w:pPr>
      <w:r>
        <w:rPr>
          <w:rFonts w:eastAsia="Calibri" w:cs="Calibri"/>
          <w:b w:val="false"/>
          <w:bCs w:val="false"/>
          <w:color w:val="000000"/>
          <w:sz w:val="21"/>
          <w:szCs w:val="21"/>
        </w:rPr>
        <w:t>Annex T applies specifically to the CCI–DSO (and CCI–Aggregator) IEC 61850 interface; it does not define communication to the elements inside the plant. Unless noted otherwise, every value below is a hard normative requirement ("shall"), not a design suggestion.</w:t>
      </w:r>
    </w:p>
    <w:p>
      <w:pPr>
        <w:pStyle w:val="Normal"/>
        <w:spacing w:before="0" w:after="80"/>
        <w:rPr/>
      </w:pPr>
      <w:r>
        <w:rPr>
          <w:rFonts w:eastAsia="Calibri" w:cs="Calibri"/>
          <w:b w:val="false"/>
          <w:bCs w:val="false"/>
          <w:color w:val="000000"/>
          <w:sz w:val="21"/>
          <w:szCs w:val="21"/>
        </w:rPr>
        <w:t>The Annex T data model is split into three independent sections, each separately optional/mandatory:</w:t>
      </w:r>
    </w:p>
    <w:p>
      <w:pPr>
        <w:pStyle w:val="ListParagraph"/>
        <w:numPr>
          <w:ilvl w:val="0"/>
          <w:numId w:val="3"/>
        </w:numPr>
        <w:spacing w:before="0" w:after="80"/>
        <w:rPr/>
      </w:pPr>
      <w:r>
        <w:rPr>
          <w:rFonts w:eastAsia="Calibri" w:cs="Calibri"/>
          <w:sz w:val="21"/>
          <w:szCs w:val="21"/>
        </w:rPr>
        <w:t>Observability — mandatory (unless a specific Data Object is marked Optional in its own table).</w:t>
      </w:r>
    </w:p>
    <w:p>
      <w:pPr>
        <w:pStyle w:val="ListParagraph"/>
        <w:numPr>
          <w:ilvl w:val="0"/>
          <w:numId w:val="1"/>
        </w:numPr>
        <w:spacing w:before="0" w:after="80"/>
        <w:rPr/>
      </w:pPr>
      <w:r>
        <w:rPr>
          <w:rFonts w:eastAsia="Calibri" w:cs="Calibri"/>
          <w:sz w:val="21"/>
          <w:szCs w:val="21"/>
        </w:rPr>
        <w:t>Control — entirely Optional (implemented only if the CCI supports remote control by the DSO).</w:t>
      </w:r>
    </w:p>
    <w:p>
      <w:pPr>
        <w:pStyle w:val="ListParagraph"/>
        <w:numPr>
          <w:ilvl w:val="0"/>
          <w:numId w:val="1"/>
        </w:numPr>
        <w:spacing w:before="0" w:after="80"/>
        <w:rPr/>
      </w:pPr>
      <w:r>
        <w:rPr>
          <w:rFonts w:eastAsia="Calibri" w:cs="Calibri"/>
          <w:sz w:val="21"/>
          <w:szCs w:val="21"/>
        </w:rPr>
        <w:t>Participation in the Dispatching Services Market (Aggregator interface) — entirely Discretionary.</w:t>
      </w:r>
    </w:p>
    <w:p>
      <w:pPr>
        <w:pStyle w:val="Heading1"/>
        <w:spacing w:before="320" w:after="160"/>
        <w:rPr/>
      </w:pPr>
      <w:r>
        <w:rPr>
          <w:rFonts w:eastAsia="Calibri" w:cs="Calibri" w:ascii="Calibri" w:hAnsi="Calibri"/>
          <w:b/>
          <w:bCs/>
          <w:color w:val="1F6F54"/>
          <w:sz w:val="28"/>
          <w:szCs w:val="28"/>
        </w:rPr>
        <w:t>2. IEC 61850 Communication Timing (T.3.2.1)</w:t>
      </w:r>
    </w:p>
    <w:p>
      <w:pPr>
        <w:pStyle w:val="Normal"/>
        <w:spacing w:before="0" w:after="160"/>
        <w:rPr/>
      </w:pPr>
      <w:r>
        <w:rPr>
          <w:rFonts w:eastAsia="Calibri" w:cs="Calibri"/>
          <w:b w:val="false"/>
          <w:bCs w:val="false"/>
          <w:color w:val="000000"/>
          <w:sz w:val="21"/>
          <w:szCs w:val="21"/>
        </w:rPr>
        <w:t>The IEC 61850 server implemented by the CCI is a single logical access point (one IP address). All info below governs the client/server (MMS) exchange between CCI and DSO/Aggregator.</w:t>
      </w:r>
    </w:p>
    <w:tbl>
      <w:tblPr>
        <w:tblW w:w="9360" w:type="dxa"/>
        <w:jc w:val="start"/>
        <w:tblInd w:w="0" w:type="dxa"/>
        <w:tblLayout w:type="fixed"/>
        <w:tblCellMar>
          <w:top w:w="60" w:type="dxa"/>
          <w:start w:w="100" w:type="dxa"/>
          <w:bottom w:w="60" w:type="dxa"/>
          <w:end w:w="100" w:type="dxa"/>
        </w:tblCellMar>
      </w:tblPr>
      <w:tblGrid>
        <w:gridCol w:w="3200"/>
        <w:gridCol w:w="1900"/>
        <w:gridCol w:w="2660"/>
        <w:gridCol w:w="1600"/>
      </w:tblGrid>
      <w:tr>
        <w:trPr>
          <w:tblHeader w:val="true"/>
        </w:trPr>
        <w:tc>
          <w:tcPr>
            <w:tcW w:w="3200"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Data / Function</w:t>
            </w:r>
          </w:p>
        </w:tc>
        <w:tc>
          <w:tcPr>
            <w:tcW w:w="1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Sending mode</w:t>
            </w:r>
          </w:p>
        </w:tc>
        <w:tc>
          <w:tcPr>
            <w:tcW w:w="266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Performance class (IEC 61850-5)</w:t>
            </w:r>
          </w:p>
        </w:tc>
        <w:tc>
          <w:tcPr>
            <w:tcW w:w="160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Presence</w:t>
            </w:r>
          </w:p>
        </w:tc>
      </w:tr>
      <w:tr>
        <w:trPr/>
        <w:tc>
          <w:tcPr>
            <w:tcW w:w="32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Plant characteristics (static + dynamic config)</w:t>
            </w:r>
          </w:p>
        </w:tc>
        <w:tc>
          <w:tcPr>
            <w:tcW w:w="1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On request</w:t>
            </w:r>
          </w:p>
        </w:tc>
        <w:tc>
          <w:tcPr>
            <w:tcW w:w="266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Type 3 – low speed messages</w:t>
            </w:r>
          </w:p>
        </w:tc>
        <w:tc>
          <w:tcPr>
            <w:tcW w:w="160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Observability, Mandatory</w:t>
            </w:r>
          </w:p>
        </w:tc>
      </w:tr>
      <w:tr>
        <w:trPr/>
        <w:tc>
          <w:tcPr>
            <w:tcW w:w="32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Plant operating status</w:t>
            </w:r>
          </w:p>
        </w:tc>
        <w:tc>
          <w:tcPr>
            <w:tcW w:w="1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On request + on change</w:t>
            </w:r>
          </w:p>
        </w:tc>
        <w:tc>
          <w:tcPr>
            <w:tcW w:w="266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Type 3 – low speed messages</w:t>
            </w:r>
          </w:p>
        </w:tc>
        <w:tc>
          <w:tcPr>
            <w:tcW w:w="160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Observability, Mandatory</w:t>
            </w:r>
          </w:p>
        </w:tc>
      </w:tr>
      <w:tr>
        <w:trPr/>
        <w:tc>
          <w:tcPr>
            <w:tcW w:w="32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Plant measurements</w:t>
            </w:r>
          </w:p>
        </w:tc>
        <w:tc>
          <w:tcPr>
            <w:tcW w:w="1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Periodic, every 4 s</w:t>
            </w:r>
          </w:p>
        </w:tc>
        <w:tc>
          <w:tcPr>
            <w:tcW w:w="266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Type 3 – low speed messages</w:t>
            </w:r>
          </w:p>
        </w:tc>
        <w:tc>
          <w:tcPr>
            <w:tcW w:w="160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Observability, Mandatory</w:t>
            </w:r>
          </w:p>
        </w:tc>
      </w:tr>
      <w:tr>
        <w:trPr/>
        <w:tc>
          <w:tcPr>
            <w:tcW w:w="3200"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Operating parameter values (control setpoints)</w:t>
            </w:r>
          </w:p>
        </w:tc>
        <w:tc>
          <w:tcPr>
            <w:tcW w:w="190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On request + on change</w:t>
            </w:r>
          </w:p>
        </w:tc>
        <w:tc>
          <w:tcPr>
            <w:tcW w:w="266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Type 3 – low speed messages</w:t>
            </w:r>
          </w:p>
        </w:tc>
        <w:tc>
          <w:tcPr>
            <w:tcW w:w="160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Control, Optional</w:t>
            </w:r>
          </w:p>
        </w:tc>
      </w:tr>
    </w:tbl>
    <w:p>
      <w:pPr>
        <w:pStyle w:val="Normal"/>
        <w:spacing w:before="0" w:after="60"/>
        <w:rPr/>
      </w:pPr>
      <w:r>
        <w:rPr/>
      </w:r>
    </w:p>
    <w:p>
      <w:pPr>
        <w:pStyle w:val="ListParagraph"/>
        <w:numPr>
          <w:ilvl w:val="0"/>
          <w:numId w:val="1"/>
        </w:numPr>
        <w:spacing w:before="0" w:after="80"/>
        <w:rPr/>
      </w:pPr>
      <w:r>
        <w:rPr>
          <w:rFonts w:eastAsia="Calibri" w:cs="Calibri"/>
          <w:sz w:val="21"/>
          <w:szCs w:val="21"/>
        </w:rPr>
        <w:t>Performance Class Type 3 ≈ P5 ("low speed messages"); expected end-to-end transit time ≈ 500 ms inside the substation (IEC 61850-5, §11.2.2/11.2.3). Outside the substation these exchanges are not catalogued by the standard.</w:t>
      </w:r>
    </w:p>
    <w:p>
      <w:pPr>
        <w:pStyle w:val="ListParagraph"/>
        <w:numPr>
          <w:ilvl w:val="0"/>
          <w:numId w:val="1"/>
        </w:numPr>
        <w:spacing w:before="0" w:after="80"/>
        <w:rPr/>
      </w:pPr>
      <w:r>
        <w:rPr>
          <w:rFonts w:eastAsia="Calibri" w:cs="Calibri"/>
          <w:sz w:val="21"/>
          <w:szCs w:val="21"/>
        </w:rPr>
        <w:t>Power set-point (P/Q) latency is explicitly required as Performance Class Type 3.</w:t>
      </w:r>
    </w:p>
    <w:p>
      <w:pPr>
        <w:pStyle w:val="ListParagraph"/>
        <w:numPr>
          <w:ilvl w:val="0"/>
          <w:numId w:val="1"/>
        </w:numPr>
        <w:spacing w:before="0" w:after="80"/>
        <w:rPr/>
      </w:pPr>
      <w:r>
        <w:rPr>
          <w:rFonts w:eastAsia="Calibri" w:cs="Calibri"/>
          <w:sz w:val="21"/>
          <w:szCs w:val="21"/>
        </w:rPr>
        <w:t>The CCI is not required to publish GOOSE, but shall be able to subscribe GOOSE messages relating to control functions; any such high-speed exchange is required as Performance Class Type 1.</w:t>
      </w:r>
    </w:p>
    <w:p>
      <w:pPr>
        <w:pStyle w:val="ListParagraph"/>
        <w:numPr>
          <w:ilvl w:val="0"/>
          <w:numId w:val="1"/>
        </w:numPr>
        <w:spacing w:before="0" w:after="80"/>
        <w:rPr/>
      </w:pPr>
      <w:r>
        <w:rPr>
          <w:rFonts w:eastAsia="Calibri" w:cs="Calibri"/>
          <w:sz w:val="21"/>
          <w:szCs w:val="21"/>
        </w:rPr>
        <w:t>Mapping: IEC 61850-8-1 over MMS (two-party Client/Server application association), compatible with "Type 2/Type 3" typologies of §5.1 IEC 61850-8-1.</w:t>
      </w:r>
    </w:p>
    <w:p>
      <w:pPr>
        <w:pStyle w:val="Normal"/>
        <w:spacing w:before="0" w:after="200"/>
        <w:rPr/>
      </w:pPr>
      <w:r>
        <w:rPr>
          <w:rFonts w:eastAsia="Calibri" w:cs="Calibri"/>
          <w:i/>
          <w:iCs/>
          <w:color w:val="666666"/>
          <w:sz w:val="18"/>
          <w:szCs w:val="18"/>
        </w:rPr>
        <w:t>Source (Annex T): T.3.2.1 "Communication modes"; T.3.3.3 "Communication Protocol Mapping".</w:t>
      </w:r>
    </w:p>
    <w:p>
      <w:pPr>
        <w:pStyle w:val="Heading1"/>
        <w:spacing w:before="320" w:after="160"/>
        <w:rPr/>
      </w:pPr>
      <w:r>
        <w:rPr>
          <w:rFonts w:eastAsia="Calibri" w:cs="Calibri" w:ascii="Calibri" w:hAnsi="Calibri"/>
          <w:b/>
          <w:bCs/>
          <w:color w:val="1F6F54"/>
          <w:sz w:val="28"/>
          <w:szCs w:val="28"/>
        </w:rPr>
        <w:t>3. Measurement Data Model &amp; Periodicity (T.3.1.3 / T.3.3.1.1.7)</w:t>
      </w:r>
    </w:p>
    <w:p>
      <w:pPr>
        <w:pStyle w:val="Normal"/>
        <w:spacing w:before="0" w:after="160"/>
        <w:rPr/>
      </w:pPr>
      <w:r>
        <w:rPr>
          <w:rFonts w:eastAsia="Calibri" w:cs="Calibri"/>
          <w:b w:val="false"/>
          <w:bCs w:val="false"/>
          <w:color w:val="000000"/>
          <w:sz w:val="21"/>
          <w:szCs w:val="21"/>
        </w:rPr>
        <w:t>Sampling/transmission period: every 4 s for all measurements below (MMXU logical node, DA "mag").</w:t>
      </w:r>
    </w:p>
    <w:tbl>
      <w:tblPr>
        <w:tblW w:w="9360" w:type="dxa"/>
        <w:jc w:val="start"/>
        <w:tblInd w:w="0" w:type="dxa"/>
        <w:tblLayout w:type="fixed"/>
        <w:tblCellMar>
          <w:top w:w="60" w:type="dxa"/>
          <w:start w:w="100" w:type="dxa"/>
          <w:bottom w:w="60" w:type="dxa"/>
          <w:end w:w="100" w:type="dxa"/>
        </w:tblCellMar>
      </w:tblPr>
      <w:tblGrid>
        <w:gridCol w:w="2299"/>
        <w:gridCol w:w="2101"/>
        <w:gridCol w:w="899"/>
        <w:gridCol w:w="2700"/>
        <w:gridCol w:w="1361"/>
      </w:tblGrid>
      <w:tr>
        <w:trPr>
          <w:tblHeader w:val="true"/>
        </w:trPr>
        <w:tc>
          <w:tcPr>
            <w:tcW w:w="22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Measurement point</w:t>
            </w:r>
          </w:p>
        </w:tc>
        <w:tc>
          <w:tcPr>
            <w:tcW w:w="21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Quantity</w:t>
            </w:r>
          </w:p>
        </w:tc>
        <w:tc>
          <w:tcPr>
            <w:tcW w:w="899"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27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IEC 61850 mapping</w:t>
            </w:r>
          </w:p>
        </w:tc>
        <w:tc>
          <w:tcPr>
            <w:tcW w:w="1361"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Presence</w:t>
            </w:r>
          </w:p>
        </w:tc>
      </w:tr>
      <w:tr>
        <w:trPr/>
        <w:tc>
          <w:tcPr>
            <w:tcW w:w="22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Point of Delivery (PdC)</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Active power (signed)</w:t>
            </w:r>
          </w:p>
        </w:tc>
        <w:tc>
          <w:tcPr>
            <w:tcW w:w="8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kW</w:t>
            </w:r>
          </w:p>
        </w:tc>
        <w:tc>
          <w:tcPr>
            <w:tcW w:w="27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MMXU1 (prefix PdC) . TotW</w:t>
            </w:r>
          </w:p>
        </w:tc>
        <w:tc>
          <w:tcPr>
            <w:tcW w:w="13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Mandatory</w:t>
            </w:r>
          </w:p>
        </w:tc>
      </w:tr>
      <w:tr>
        <w:trPr/>
        <w:tc>
          <w:tcPr>
            <w:tcW w:w="22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Point of Delivery (PdC)</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Reactive power (signed)</w:t>
            </w:r>
          </w:p>
        </w:tc>
        <w:tc>
          <w:tcPr>
            <w:tcW w:w="8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kVAr</w:t>
            </w:r>
          </w:p>
        </w:tc>
        <w:tc>
          <w:tcPr>
            <w:tcW w:w="27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MMXU1 (prefix PdC) . TotVAr</w:t>
            </w:r>
          </w:p>
        </w:tc>
        <w:tc>
          <w:tcPr>
            <w:tcW w:w="13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Mandatory</w:t>
            </w:r>
          </w:p>
        </w:tc>
      </w:tr>
      <w:tr>
        <w:trPr/>
        <w:tc>
          <w:tcPr>
            <w:tcW w:w="22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Point of Delivery (PdC)</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Phase-to-phase voltages</w:t>
            </w:r>
          </w:p>
        </w:tc>
        <w:tc>
          <w:tcPr>
            <w:tcW w:w="8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kV</w:t>
            </w:r>
          </w:p>
        </w:tc>
        <w:tc>
          <w:tcPr>
            <w:tcW w:w="27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MMXU1 (prefix PdC) . PPV</w:t>
            </w:r>
          </w:p>
        </w:tc>
        <w:tc>
          <w:tcPr>
            <w:tcW w:w="13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Mandatory</w:t>
            </w:r>
          </w:p>
        </w:tc>
      </w:tr>
      <w:tr>
        <w:trPr/>
        <w:tc>
          <w:tcPr>
            <w:tcW w:w="22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Point of Delivery (PdC)</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Phase currents</w:t>
            </w:r>
          </w:p>
        </w:tc>
        <w:tc>
          <w:tcPr>
            <w:tcW w:w="8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w:t>
            </w:r>
          </w:p>
        </w:tc>
        <w:tc>
          <w:tcPr>
            <w:tcW w:w="27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MMXU1 (prefix PdC) . A</w:t>
            </w:r>
          </w:p>
        </w:tc>
        <w:tc>
          <w:tcPr>
            <w:tcW w:w="13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Optional</w:t>
            </w:r>
          </w:p>
        </w:tc>
      </w:tr>
      <w:tr>
        <w:trPr/>
        <w:tc>
          <w:tcPr>
            <w:tcW w:w="22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Generation aggregate (PV/Wind/Thermal/Hydro)</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Total active power per source</w:t>
            </w:r>
          </w:p>
        </w:tc>
        <w:tc>
          <w:tcPr>
            <w:tcW w:w="8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kW</w:t>
            </w:r>
          </w:p>
        </w:tc>
        <w:tc>
          <w:tcPr>
            <w:tcW w:w="27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MMXU2 (prefix GenPV/GenWi/GenTer/GenIdr) . TotW</w:t>
            </w:r>
          </w:p>
        </w:tc>
        <w:tc>
          <w:tcPr>
            <w:tcW w:w="13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Mandatory</w:t>
            </w:r>
          </w:p>
        </w:tc>
      </w:tr>
      <w:tr>
        <w:trPr/>
        <w:tc>
          <w:tcPr>
            <w:tcW w:w="22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Storage aggregate</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Active power</w:t>
            </w:r>
          </w:p>
        </w:tc>
        <w:tc>
          <w:tcPr>
            <w:tcW w:w="8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kW</w:t>
            </w:r>
          </w:p>
        </w:tc>
        <w:tc>
          <w:tcPr>
            <w:tcW w:w="27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MMXU2 (prefix St) . TotW</w:t>
            </w:r>
          </w:p>
        </w:tc>
        <w:tc>
          <w:tcPr>
            <w:tcW w:w="13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Mandatory</w:t>
            </w:r>
          </w:p>
        </w:tc>
      </w:tr>
      <w:tr>
        <w:trPr/>
        <w:tc>
          <w:tcPr>
            <w:tcW w:w="2299"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Single Generating Group (SGG), N = 1..99</w:t>
            </w:r>
          </w:p>
        </w:tc>
        <w:tc>
          <w:tcPr>
            <w:tcW w:w="2101"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Active power</w:t>
            </w:r>
          </w:p>
        </w:tc>
        <w:tc>
          <w:tcPr>
            <w:tcW w:w="899"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kW</w:t>
            </w:r>
          </w:p>
        </w:tc>
        <w:tc>
          <w:tcPr>
            <w:tcW w:w="2700"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MMXU2 (prefix SGG) . TotW</w:t>
            </w:r>
          </w:p>
        </w:tc>
        <w:tc>
          <w:tcPr>
            <w:tcW w:w="1361"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Mandatory</w:t>
            </w:r>
          </w:p>
        </w:tc>
      </w:tr>
    </w:tbl>
    <w:p>
      <w:pPr>
        <w:pStyle w:val="Normal"/>
        <w:spacing w:before="0" w:after="200"/>
        <w:rPr/>
      </w:pPr>
      <w:r>
        <w:rPr>
          <w:rFonts w:eastAsia="Calibri" w:cs="Calibri"/>
          <w:i/>
          <w:iCs/>
          <w:color w:val="666666"/>
          <w:sz w:val="18"/>
          <w:szCs w:val="18"/>
        </w:rPr>
        <w:t>Source (Annex T): T.3.1.3 "Information on measurements of electrical quantities"; T.3.3.1.1.7 "Plant measurements".</w:t>
      </w:r>
    </w:p>
    <w:p>
      <w:pPr>
        <w:pStyle w:val="Heading1"/>
        <w:spacing w:before="320" w:after="160"/>
        <w:rPr/>
      </w:pPr>
      <w:r>
        <w:rPr>
          <w:rFonts w:eastAsia="Calibri" w:cs="Calibri" w:ascii="Calibri" w:hAnsi="Calibri"/>
          <w:b/>
          <w:bCs/>
          <w:color w:val="1F6F54"/>
          <w:sz w:val="28"/>
          <w:szCs w:val="28"/>
        </w:rPr>
        <w:t>4. Characteristic Power Vector (Table 80) &amp; Nameplate Data Objects</w:t>
      </w:r>
    </w:p>
    <w:p>
      <w:pPr>
        <w:pStyle w:val="Normal"/>
        <w:spacing w:before="0" w:after="160"/>
        <w:rPr/>
      </w:pPr>
      <w:r>
        <w:rPr>
          <w:rFonts w:eastAsia="Calibri" w:cs="Calibri"/>
          <w:b w:val="false"/>
          <w:bCs w:val="false"/>
          <w:color w:val="000000"/>
          <w:sz w:val="21"/>
          <w:szCs w:val="21"/>
        </w:rPr>
        <w:t>Used both for static nameplate data at the PdC and as the p.u. reference base (Smax) for every control setpoint below.</w:t>
      </w:r>
    </w:p>
    <w:tbl>
      <w:tblPr>
        <w:tblW w:w="9360" w:type="dxa"/>
        <w:jc w:val="start"/>
        <w:tblInd w:w="0" w:type="dxa"/>
        <w:tblLayout w:type="fixed"/>
        <w:tblCellMar>
          <w:top w:w="60" w:type="dxa"/>
          <w:start w:w="100" w:type="dxa"/>
          <w:bottom w:w="60" w:type="dxa"/>
          <w:end w:w="100" w:type="dxa"/>
        </w:tblCellMar>
      </w:tblPr>
      <w:tblGrid>
        <w:gridCol w:w="4400"/>
        <w:gridCol w:w="1400"/>
        <w:gridCol w:w="3560"/>
      </w:tblGrid>
      <w:tr>
        <w:trPr>
          <w:tblHeader w:val="true"/>
        </w:trPr>
        <w:tc>
          <w:tcPr>
            <w:tcW w:w="4400"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Information</w:t>
            </w:r>
          </w:p>
        </w:tc>
        <w:tc>
          <w:tcPr>
            <w:tcW w:w="14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35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IEC 61850 mapping (DPCC, prefix)</w:t>
            </w:r>
          </w:p>
        </w:tc>
      </w:tr>
      <w:tr>
        <w:trPr/>
        <w:tc>
          <w:tcPr>
            <w:tcW w:w="44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Maximum active power input (generation)</w:t>
            </w:r>
          </w:p>
        </w:tc>
        <w:tc>
          <w:tcPr>
            <w:tcW w:w="14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kW</w:t>
            </w:r>
          </w:p>
        </w:tc>
        <w:tc>
          <w:tcPr>
            <w:tcW w:w="35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DPCC1 (PdC_Wi) . WRtg</w:t>
            </w:r>
          </w:p>
        </w:tc>
      </w:tr>
      <w:tr>
        <w:trPr/>
        <w:tc>
          <w:tcPr>
            <w:tcW w:w="44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Maximum active power in absorption</w:t>
            </w:r>
          </w:p>
        </w:tc>
        <w:tc>
          <w:tcPr>
            <w:tcW w:w="14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kW</w:t>
            </w:r>
          </w:p>
        </w:tc>
        <w:tc>
          <w:tcPr>
            <w:tcW w:w="35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DPCC1 (PdC_Wa) . WRtg</w:t>
            </w:r>
          </w:p>
        </w:tc>
      </w:tr>
      <w:tr>
        <w:trPr/>
        <w:tc>
          <w:tcPr>
            <w:tcW w:w="44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Maximum inductive reactive power</w:t>
            </w:r>
          </w:p>
        </w:tc>
        <w:tc>
          <w:tcPr>
            <w:tcW w:w="14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kVAr</w:t>
            </w:r>
          </w:p>
        </w:tc>
        <w:tc>
          <w:tcPr>
            <w:tcW w:w="35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DPCC2 (PdC_Qi) . VArRtg</w:t>
            </w:r>
          </w:p>
        </w:tc>
      </w:tr>
      <w:tr>
        <w:trPr/>
        <w:tc>
          <w:tcPr>
            <w:tcW w:w="44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Maximum capacitive reactive power</w:t>
            </w:r>
          </w:p>
        </w:tc>
        <w:tc>
          <w:tcPr>
            <w:tcW w:w="14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kVAr</w:t>
            </w:r>
          </w:p>
        </w:tc>
        <w:tc>
          <w:tcPr>
            <w:tcW w:w="35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DPCC2 (PdC_Qc) . VArRtg</w:t>
            </w:r>
          </w:p>
        </w:tc>
      </w:tr>
      <w:tr>
        <w:trPr/>
        <w:tc>
          <w:tcPr>
            <w:tcW w:w="4400"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Maximum apparent system power (Smax)</w:t>
            </w:r>
          </w:p>
        </w:tc>
        <w:tc>
          <w:tcPr>
            <w:tcW w:w="1400"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kVA</w:t>
            </w:r>
          </w:p>
        </w:tc>
        <w:tc>
          <w:tcPr>
            <w:tcW w:w="3560"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DPCC3 (PdC_VA) . VARtg</w:t>
            </w:r>
          </w:p>
        </w:tc>
      </w:tr>
    </w:tbl>
    <w:p>
      <w:pPr>
        <w:pStyle w:val="Normal"/>
        <w:spacing w:before="0" w:after="200"/>
        <w:rPr/>
      </w:pPr>
      <w:r>
        <w:rPr>
          <w:rFonts w:eastAsia="Calibri" w:cs="Calibri"/>
          <w:i/>
          <w:iCs/>
          <w:color w:val="666666"/>
          <w:sz w:val="18"/>
          <w:szCs w:val="18"/>
        </w:rPr>
        <w:t>Source (Annex T): T.3.1 Table 80; T.3.3.1.1.3 "Operating Characteristics at the Connection Point".</w:t>
      </w:r>
    </w:p>
    <w:p>
      <w:pPr>
        <w:pStyle w:val="Heading1"/>
        <w:spacing w:before="320" w:after="160"/>
        <w:rPr/>
      </w:pPr>
      <w:r>
        <w:rPr>
          <w:rFonts w:eastAsia="Calibri" w:cs="Calibri" w:ascii="Calibri" w:hAnsi="Calibri"/>
          <w:b/>
          <w:bCs/>
          <w:color w:val="1F6F54"/>
          <w:sz w:val="28"/>
          <w:szCs w:val="28"/>
        </w:rPr>
        <w:t>5. Control-Function Parameters, Ranges and Defaults (T.3.1.4)</w:t>
      </w:r>
    </w:p>
    <w:p>
      <w:pPr>
        <w:pStyle w:val="Normal"/>
        <w:spacing w:before="0" w:after="160"/>
        <w:rPr/>
      </w:pPr>
      <w:r>
        <w:rPr>
          <w:rFonts w:eastAsia="Calibri" w:cs="Calibri"/>
          <w:b w:val="false"/>
          <w:bCs w:val="false"/>
          <w:color w:val="000000"/>
          <w:sz w:val="21"/>
          <w:szCs w:val="21"/>
        </w:rPr>
        <w:t>All Control, Optional unless marked Discretionary (MSD participation). Every percentage is referred to Smax unless stated otherwise.</w:t>
      </w:r>
    </w:p>
    <w:p>
      <w:pPr>
        <w:pStyle w:val="Heading2"/>
        <w:spacing w:before="240" w:after="120"/>
        <w:rPr/>
      </w:pPr>
      <w:r>
        <w:rPr>
          <w:rFonts w:eastAsia="Calibri" w:cs="Calibri" w:ascii="Calibri" w:hAnsi="Calibri"/>
          <w:b/>
          <w:bCs/>
          <w:color w:val="1F6F54"/>
          <w:sz w:val="24"/>
          <w:szCs w:val="24"/>
        </w:rPr>
        <w:t>5.1 Active Power Limitation (Table 85 — LN DWMX, prefix Wlim)</w:t>
      </w:r>
    </w:p>
    <w:tbl>
      <w:tblPr>
        <w:tblW w:w="9360" w:type="dxa"/>
        <w:jc w:val="start"/>
        <w:tblInd w:w="0" w:type="dxa"/>
        <w:tblLayout w:type="fixed"/>
        <w:tblCellMar>
          <w:top w:w="60" w:type="dxa"/>
          <w:start w:w="100" w:type="dxa"/>
          <w:bottom w:w="60" w:type="dxa"/>
          <w:end w:w="100" w:type="dxa"/>
        </w:tblCellMar>
      </w:tblPr>
      <w:tblGrid>
        <w:gridCol w:w="3399"/>
        <w:gridCol w:w="900"/>
        <w:gridCol w:w="3801"/>
        <w:gridCol w:w="1260"/>
      </w:tblGrid>
      <w:tr>
        <w:trPr>
          <w:tblHeader w:val="true"/>
        </w:trPr>
        <w:tc>
          <w:tcPr>
            <w:tcW w:w="3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38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12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Active power limit in generation mode</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0..100 (ref. Smax)</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Activation command</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5 = Inactive / 1 = Active</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Setpoint function status (from DSO)</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 = Not available / 1 = Autonomous / 2 = Automatic (Priority)</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1</w:t>
            </w:r>
          </w:p>
        </w:tc>
      </w:tr>
      <w:tr>
        <w:trPr/>
        <w:tc>
          <w:tcPr>
            <w:tcW w:w="3399"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Limit function status, P 110%</w:t>
            </w:r>
          </w:p>
        </w:tc>
        <w:tc>
          <w:tcPr>
            <w:tcW w:w="900"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0 = Not available / 1 = Autonomous</w:t>
            </w:r>
          </w:p>
        </w:tc>
        <w:tc>
          <w:tcPr>
            <w:tcW w:w="1260"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2</w:t>
            </w:r>
          </w:p>
        </w:tc>
      </w:tr>
    </w:tbl>
    <w:p>
      <w:pPr>
        <w:pStyle w:val="Heading2"/>
        <w:spacing w:before="240" w:after="120"/>
        <w:rPr/>
      </w:pPr>
      <w:r>
        <w:rPr>
          <w:rFonts w:eastAsia="Calibri" w:cs="Calibri" w:ascii="Calibri" w:hAnsi="Calibri"/>
          <w:b/>
          <w:bCs/>
          <w:color w:val="1F6F54"/>
          <w:sz w:val="24"/>
          <w:szCs w:val="24"/>
        </w:rPr>
        <w:t>5.2 Modulation of Active Power (Table 86 — LN DAGC, prefix WSd)</w:t>
      </w:r>
    </w:p>
    <w:tbl>
      <w:tblPr>
        <w:tblW w:w="9360" w:type="dxa"/>
        <w:jc w:val="start"/>
        <w:tblInd w:w="0" w:type="dxa"/>
        <w:tblLayout w:type="fixed"/>
        <w:tblCellMar>
          <w:top w:w="60" w:type="dxa"/>
          <w:start w:w="100" w:type="dxa"/>
          <w:bottom w:w="60" w:type="dxa"/>
          <w:end w:w="100" w:type="dxa"/>
        </w:tblCellMar>
      </w:tblPr>
      <w:tblGrid>
        <w:gridCol w:w="3399"/>
        <w:gridCol w:w="900"/>
        <w:gridCol w:w="3801"/>
        <w:gridCol w:w="1260"/>
      </w:tblGrid>
      <w:tr>
        <w:trPr>
          <w:tblHeader w:val="true"/>
        </w:trPr>
        <w:tc>
          <w:tcPr>
            <w:tcW w:w="3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38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12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Feed-in / feed-out setpoint</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0..100 (+feed-in / -feed-out, ref. Smax)</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100 / 0</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Activation command</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5 = Inactive / 1 = Active</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Function status</w:t>
            </w:r>
          </w:p>
        </w:tc>
        <w:tc>
          <w:tcPr>
            <w:tcW w:w="90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0 = Not available / 2 = Automatic (Priority)</w:t>
            </w:r>
          </w:p>
        </w:tc>
        <w:tc>
          <w:tcPr>
            <w:tcW w:w="126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2</w:t>
            </w:r>
          </w:p>
        </w:tc>
      </w:tr>
    </w:tbl>
    <w:p>
      <w:pPr>
        <w:pStyle w:val="Heading2"/>
        <w:spacing w:before="240" w:after="120"/>
        <w:rPr/>
      </w:pPr>
      <w:r>
        <w:rPr>
          <w:rFonts w:eastAsia="Calibri" w:cs="Calibri" w:ascii="Calibri" w:hAnsi="Calibri"/>
          <w:b/>
          <w:bCs/>
          <w:color w:val="1F6F54"/>
          <w:sz w:val="24"/>
          <w:szCs w:val="24"/>
        </w:rPr>
        <w:t>5.3 Active Power Set-Point — MSD participation (Table 87 — LN DAGC, prefix WSa) — Discretionary</w:t>
      </w:r>
    </w:p>
    <w:tbl>
      <w:tblPr>
        <w:tblW w:w="9360" w:type="dxa"/>
        <w:jc w:val="start"/>
        <w:tblInd w:w="0" w:type="dxa"/>
        <w:tblLayout w:type="fixed"/>
        <w:tblCellMar>
          <w:top w:w="60" w:type="dxa"/>
          <w:start w:w="100" w:type="dxa"/>
          <w:bottom w:w="60" w:type="dxa"/>
          <w:end w:w="100" w:type="dxa"/>
        </w:tblCellMar>
      </w:tblPr>
      <w:tblGrid>
        <w:gridCol w:w="3399"/>
        <w:gridCol w:w="900"/>
        <w:gridCol w:w="3801"/>
        <w:gridCol w:w="1260"/>
      </w:tblGrid>
      <w:tr>
        <w:trPr>
          <w:tblHeader w:val="true"/>
        </w:trPr>
        <w:tc>
          <w:tcPr>
            <w:tcW w:w="3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38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12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Feed-in / feed-out setpoint</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0..100 (+feed-in / -feed-out, ref. Smax)</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100 / 0</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Activation command</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5 = Inactive / 1 = Active</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Function status</w:t>
            </w:r>
          </w:p>
        </w:tc>
        <w:tc>
          <w:tcPr>
            <w:tcW w:w="90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0 = Not available / 2 = Automatic (Priority)</w:t>
            </w:r>
          </w:p>
        </w:tc>
        <w:tc>
          <w:tcPr>
            <w:tcW w:w="126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2</w:t>
            </w:r>
          </w:p>
        </w:tc>
      </w:tr>
    </w:tbl>
    <w:p>
      <w:pPr>
        <w:pStyle w:val="Heading2"/>
        <w:spacing w:before="240" w:after="120"/>
        <w:rPr/>
      </w:pPr>
      <w:r>
        <w:rPr>
          <w:rFonts w:eastAsia="Calibri" w:cs="Calibri" w:ascii="Calibri" w:hAnsi="Calibri"/>
          <w:b/>
          <w:bCs/>
          <w:color w:val="1F6F54"/>
          <w:sz w:val="24"/>
          <w:szCs w:val="24"/>
        </w:rPr>
        <w:t>5.4 Voltage Control with Reactive Power (Table 88 — LN DVAR, prefix VArSd)</w:t>
      </w:r>
    </w:p>
    <w:tbl>
      <w:tblPr>
        <w:tblW w:w="9360" w:type="dxa"/>
        <w:jc w:val="start"/>
        <w:tblInd w:w="0" w:type="dxa"/>
        <w:tblLayout w:type="fixed"/>
        <w:tblCellMar>
          <w:top w:w="60" w:type="dxa"/>
          <w:start w:w="100" w:type="dxa"/>
          <w:bottom w:w="60" w:type="dxa"/>
          <w:end w:w="100" w:type="dxa"/>
        </w:tblCellMar>
      </w:tblPr>
      <w:tblGrid>
        <w:gridCol w:w="3399"/>
        <w:gridCol w:w="900"/>
        <w:gridCol w:w="3801"/>
        <w:gridCol w:w="1260"/>
      </w:tblGrid>
      <w:tr>
        <w:trPr>
          <w:tblHeader w:val="true"/>
        </w:trPr>
        <w:tc>
          <w:tcPr>
            <w:tcW w:w="3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38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12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Feed-in / feed-out reactive power</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0..100 (+capacitive / -inductive, ref. Smax)</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 / 0</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Activation command</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5 = Inactive / 1 = Active</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Function status</w:t>
            </w:r>
          </w:p>
        </w:tc>
        <w:tc>
          <w:tcPr>
            <w:tcW w:w="90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0 = Not available / 2 = Automatic (Priority)</w:t>
            </w:r>
          </w:p>
        </w:tc>
        <w:tc>
          <w:tcPr>
            <w:tcW w:w="126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2</w:t>
            </w:r>
          </w:p>
        </w:tc>
      </w:tr>
    </w:tbl>
    <w:p>
      <w:pPr>
        <w:pStyle w:val="Heading2"/>
        <w:spacing w:before="240" w:after="120"/>
        <w:rPr/>
      </w:pPr>
      <w:r>
        <w:rPr>
          <w:rFonts w:eastAsia="Calibri" w:cs="Calibri" w:ascii="Calibri" w:hAnsi="Calibri"/>
          <w:b/>
          <w:bCs/>
          <w:color w:val="1F6F54"/>
          <w:sz w:val="24"/>
          <w:szCs w:val="24"/>
        </w:rPr>
        <w:t>5.5 Reactive Power Set-Point — MSD participation (Table 89 — LN DVAR, prefix VArSa) — Discretionary</w:t>
      </w:r>
    </w:p>
    <w:tbl>
      <w:tblPr>
        <w:tblW w:w="9360" w:type="dxa"/>
        <w:jc w:val="start"/>
        <w:tblInd w:w="0" w:type="dxa"/>
        <w:tblLayout w:type="fixed"/>
        <w:tblCellMar>
          <w:top w:w="60" w:type="dxa"/>
          <w:start w:w="100" w:type="dxa"/>
          <w:bottom w:w="60" w:type="dxa"/>
          <w:end w:w="100" w:type="dxa"/>
        </w:tblCellMar>
      </w:tblPr>
      <w:tblGrid>
        <w:gridCol w:w="3399"/>
        <w:gridCol w:w="900"/>
        <w:gridCol w:w="3801"/>
        <w:gridCol w:w="1260"/>
      </w:tblGrid>
      <w:tr>
        <w:trPr>
          <w:tblHeader w:val="true"/>
        </w:trPr>
        <w:tc>
          <w:tcPr>
            <w:tcW w:w="3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38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12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Feed-in / feed-out reactive power</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0..100 (+capacitive / -inductive, ref. Smax)</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 / 0</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Activation command</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5 = Inactive / 1 = Active</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Function status</w:t>
            </w:r>
          </w:p>
        </w:tc>
        <w:tc>
          <w:tcPr>
            <w:tcW w:w="90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0 = Not available / 2 = Automatic (Priority)</w:t>
            </w:r>
          </w:p>
        </w:tc>
        <w:tc>
          <w:tcPr>
            <w:tcW w:w="126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2</w:t>
            </w:r>
          </w:p>
        </w:tc>
      </w:tr>
    </w:tbl>
    <w:p>
      <w:pPr>
        <w:pStyle w:val="Heading2"/>
        <w:spacing w:before="240" w:after="120"/>
        <w:rPr/>
      </w:pPr>
      <w:r>
        <w:rPr>
          <w:rFonts w:eastAsia="Calibri" w:cs="Calibri" w:ascii="Calibri" w:hAnsi="Calibri"/>
          <w:b/>
          <w:bCs/>
          <w:color w:val="1F6F54"/>
          <w:sz w:val="24"/>
          <w:szCs w:val="24"/>
        </w:rPr>
        <w:t>5.6 Fixed Power Factor — cosφ (Table 90 — LN DFPF, prefix PFSP)</w:t>
      </w:r>
    </w:p>
    <w:tbl>
      <w:tblPr>
        <w:tblW w:w="9360" w:type="dxa"/>
        <w:jc w:val="start"/>
        <w:tblInd w:w="0" w:type="dxa"/>
        <w:tblLayout w:type="fixed"/>
        <w:tblCellMar>
          <w:top w:w="60" w:type="dxa"/>
          <w:start w:w="100" w:type="dxa"/>
          <w:bottom w:w="60" w:type="dxa"/>
          <w:end w:w="100" w:type="dxa"/>
        </w:tblCellMar>
      </w:tblPr>
      <w:tblGrid>
        <w:gridCol w:w="3399"/>
        <w:gridCol w:w="900"/>
        <w:gridCol w:w="3801"/>
        <w:gridCol w:w="1260"/>
      </w:tblGrid>
      <w:tr>
        <w:trPr>
          <w:tblHeader w:val="true"/>
        </w:trPr>
        <w:tc>
          <w:tcPr>
            <w:tcW w:w="3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38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12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Cosφ setpoint, generation</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P.U.</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-1.00..+1.00 (+cap / -ind)</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-0.95</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Cosφ setpoint, absorption</w:t>
            </w:r>
          </w:p>
        </w:tc>
        <w:tc>
          <w:tcPr>
            <w:tcW w:w="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P.U.</w:t>
            </w:r>
          </w:p>
        </w:tc>
        <w:tc>
          <w:tcPr>
            <w:tcW w:w="38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-1.00..1.00 (+cap / -ind)</w:t>
            </w:r>
          </w:p>
        </w:tc>
        <w:tc>
          <w:tcPr>
            <w:tcW w:w="12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0.95</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Activation command</w:t>
            </w:r>
          </w:p>
        </w:tc>
        <w:tc>
          <w:tcPr>
            <w:tcW w:w="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5 = Inactive / 1 = Active</w:t>
            </w:r>
          </w:p>
        </w:tc>
        <w:tc>
          <w:tcPr>
            <w:tcW w:w="12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5</w:t>
            </w:r>
          </w:p>
        </w:tc>
      </w:tr>
      <w:tr>
        <w:trPr/>
        <w:tc>
          <w:tcPr>
            <w:tcW w:w="3399"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Function status</w:t>
            </w:r>
          </w:p>
        </w:tc>
        <w:tc>
          <w:tcPr>
            <w:tcW w:w="900"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w:t>
            </w:r>
          </w:p>
        </w:tc>
        <w:tc>
          <w:tcPr>
            <w:tcW w:w="3801"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0 = Not available / 1 = Autonomous / 2 = Automatic (Priority)</w:t>
            </w:r>
          </w:p>
        </w:tc>
        <w:tc>
          <w:tcPr>
            <w:tcW w:w="1260"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1</w:t>
            </w:r>
          </w:p>
        </w:tc>
      </w:tr>
    </w:tbl>
    <w:p>
      <w:pPr>
        <w:pStyle w:val="Heading2"/>
        <w:spacing w:before="240" w:after="120"/>
        <w:rPr/>
      </w:pPr>
      <w:r>
        <w:rPr>
          <w:rFonts w:eastAsia="Calibri" w:cs="Calibri" w:ascii="Calibri" w:hAnsi="Calibri"/>
          <w:b/>
          <w:bCs/>
          <w:color w:val="1F6F54"/>
          <w:sz w:val="24"/>
          <w:szCs w:val="24"/>
        </w:rPr>
        <w:t>5.7 Reactive Power Control, curve Q = f(V) (Table 91 — LN DVVR, prefix VArV)</w:t>
      </w:r>
    </w:p>
    <w:tbl>
      <w:tblPr>
        <w:tblW w:w="9360" w:type="dxa"/>
        <w:jc w:val="start"/>
        <w:tblInd w:w="0" w:type="dxa"/>
        <w:tblLayout w:type="fixed"/>
        <w:tblCellMar>
          <w:top w:w="60" w:type="dxa"/>
          <w:start w:w="100" w:type="dxa"/>
          <w:bottom w:w="60" w:type="dxa"/>
          <w:end w:w="100" w:type="dxa"/>
        </w:tblCellMar>
      </w:tblPr>
      <w:tblGrid>
        <w:gridCol w:w="2399"/>
        <w:gridCol w:w="701"/>
        <w:gridCol w:w="2999"/>
        <w:gridCol w:w="2101"/>
        <w:gridCol w:w="1160"/>
      </w:tblGrid>
      <w:tr>
        <w:trPr>
          <w:tblHeader w:val="true"/>
        </w:trPr>
        <w:tc>
          <w:tcPr>
            <w:tcW w:w="2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7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2999"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21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Reference</w:t>
            </w:r>
          </w:p>
        </w:tc>
        <w:tc>
          <w:tcPr>
            <w:tcW w:w="11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Activation command</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5 = Inactive / 1 = Active</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5</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Function status</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0 = Not avail. / 1 = Autonomous / 2 = Automatic (Priority)</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K</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-1.00..1.00</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Active power lock-in</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Nominal active power</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0.20</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Active power lock-out</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Nominal active power</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0.05</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V threshold, higher 1</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Nominal voltage at PdC</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1.08</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V threshold, lower 1</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Nominal voltage at PdC</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0.92</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V threshold, higher 2</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Nominal voltage at PdC</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1.10</w:t>
            </w:r>
          </w:p>
        </w:tc>
      </w:tr>
      <w:tr>
        <w:trPr/>
        <w:tc>
          <w:tcPr>
            <w:tcW w:w="23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V threshold, lower 2</w:t>
            </w:r>
          </w:p>
        </w:tc>
        <w:tc>
          <w:tcPr>
            <w:tcW w:w="701"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Nominal voltage at PdC</w:t>
            </w:r>
          </w:p>
        </w:tc>
        <w:tc>
          <w:tcPr>
            <w:tcW w:w="116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0.90</w:t>
            </w:r>
          </w:p>
        </w:tc>
      </w:tr>
    </w:tbl>
    <w:p>
      <w:pPr>
        <w:pStyle w:val="Heading2"/>
        <w:spacing w:before="240" w:after="120"/>
        <w:rPr/>
      </w:pPr>
      <w:r>
        <w:rPr>
          <w:rFonts w:eastAsia="Calibri" w:cs="Calibri" w:ascii="Calibri" w:hAnsi="Calibri"/>
          <w:b/>
          <w:bCs/>
          <w:color w:val="1F6F54"/>
          <w:sz w:val="24"/>
          <w:szCs w:val="24"/>
        </w:rPr>
        <w:t>5.8 Reactive Power via cosφ(P) curve (Table 92 — LN DPFW, prefix PFW)</w:t>
      </w:r>
    </w:p>
    <w:tbl>
      <w:tblPr>
        <w:tblW w:w="9360" w:type="dxa"/>
        <w:jc w:val="start"/>
        <w:tblInd w:w="0" w:type="dxa"/>
        <w:tblLayout w:type="fixed"/>
        <w:tblCellMar>
          <w:top w:w="60" w:type="dxa"/>
          <w:start w:w="100" w:type="dxa"/>
          <w:bottom w:w="60" w:type="dxa"/>
          <w:end w:w="100" w:type="dxa"/>
        </w:tblCellMar>
      </w:tblPr>
      <w:tblGrid>
        <w:gridCol w:w="2399"/>
        <w:gridCol w:w="701"/>
        <w:gridCol w:w="2999"/>
        <w:gridCol w:w="2101"/>
        <w:gridCol w:w="1160"/>
      </w:tblGrid>
      <w:tr>
        <w:trPr>
          <w:tblHeader w:val="true"/>
        </w:trPr>
        <w:tc>
          <w:tcPr>
            <w:tcW w:w="2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7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Unit</w:t>
            </w:r>
          </w:p>
        </w:tc>
        <w:tc>
          <w:tcPr>
            <w:tcW w:w="2999"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Range</w:t>
            </w:r>
          </w:p>
        </w:tc>
        <w:tc>
          <w:tcPr>
            <w:tcW w:w="21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Reference</w:t>
            </w:r>
          </w:p>
        </w:tc>
        <w:tc>
          <w:tcPr>
            <w:tcW w:w="11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Default</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Operating status</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 = Operating / 5 = Not-Operating</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5</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Activation command</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5 = Inactive / 1 = Active</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5</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Function status</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0 = Not avail. / 1 = Autonomous / 2 = Automatic (Priority)</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 value (point A)</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Nominal active power</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0.20</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Cosφ value (point A)</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-1.00..-0.1 / +0.1..1.00 (+cap/-ind)</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1.00</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 value (point B)</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Nominal active power</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0.50</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Cosφ value (point B)</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-1.00..-0.1 / +0.1..1.00 (+cap/-ind)</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1.00</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 value (point C)</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0.00..max</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Nominal active power</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1.00</w:t>
            </w:r>
          </w:p>
        </w:tc>
      </w:tr>
      <w:tr>
        <w:trPr/>
        <w:tc>
          <w:tcPr>
            <w:tcW w:w="2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Cosφ value (point C)</w:t>
            </w:r>
          </w:p>
        </w:tc>
        <w:tc>
          <w:tcPr>
            <w:tcW w:w="7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-1.00..-0.1 / +0.1..1.00 (+cap/-ind)</w:t>
            </w:r>
          </w:p>
        </w:tc>
        <w:tc>
          <w:tcPr>
            <w:tcW w:w="21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1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0.95</w:t>
            </w:r>
          </w:p>
        </w:tc>
      </w:tr>
      <w:tr>
        <w:trPr/>
        <w:tc>
          <w:tcPr>
            <w:tcW w:w="2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Voltage lock-in</w:t>
            </w:r>
          </w:p>
        </w:tc>
        <w:tc>
          <w:tcPr>
            <w:tcW w:w="7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1.00..1.10</w:t>
            </w:r>
          </w:p>
        </w:tc>
        <w:tc>
          <w:tcPr>
            <w:tcW w:w="210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Nominal voltage at PdC</w:t>
            </w:r>
          </w:p>
        </w:tc>
        <w:tc>
          <w:tcPr>
            <w:tcW w:w="1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1.05</w:t>
            </w:r>
          </w:p>
        </w:tc>
      </w:tr>
      <w:tr>
        <w:trPr/>
        <w:tc>
          <w:tcPr>
            <w:tcW w:w="2399"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Voltage lock-out</w:t>
            </w:r>
          </w:p>
        </w:tc>
        <w:tc>
          <w:tcPr>
            <w:tcW w:w="701"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P.U.</w:t>
            </w:r>
          </w:p>
        </w:tc>
        <w:tc>
          <w:tcPr>
            <w:tcW w:w="2999"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0.90..1.00</w:t>
            </w:r>
          </w:p>
        </w:tc>
        <w:tc>
          <w:tcPr>
            <w:tcW w:w="2101"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Nominal voltage at PdC</w:t>
            </w:r>
          </w:p>
        </w:tc>
        <w:tc>
          <w:tcPr>
            <w:tcW w:w="1160"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0.98</w:t>
            </w:r>
          </w:p>
        </w:tc>
      </w:tr>
    </w:tbl>
    <w:p>
      <w:pPr>
        <w:pStyle w:val="Normal"/>
        <w:spacing w:before="0" w:after="200"/>
        <w:rPr/>
      </w:pPr>
      <w:r>
        <w:rPr>
          <w:rFonts w:eastAsia="Calibri" w:cs="Calibri"/>
          <w:i/>
          <w:iCs/>
          <w:color w:val="666666"/>
          <w:sz w:val="18"/>
          <w:szCs w:val="18"/>
        </w:rPr>
        <w:t>Source (Annex T): T.3.1.4.1 – T.3.1.4.8; T.3.3.1.2 "Control Data Models".</w:t>
      </w:r>
    </w:p>
    <w:p>
      <w:pPr>
        <w:pStyle w:val="Heading1"/>
        <w:spacing w:before="320" w:after="160"/>
        <w:rPr/>
      </w:pPr>
      <w:r>
        <w:rPr>
          <w:rFonts w:eastAsia="Calibri" w:cs="Calibri" w:ascii="Calibri" w:hAnsi="Calibri"/>
          <w:b/>
          <w:bCs/>
          <w:color w:val="1F6F54"/>
          <w:sz w:val="28"/>
          <w:szCs w:val="28"/>
        </w:rPr>
        <w:t>6. IEC 61850 Data Model Structure (T.3.3.1)</w:t>
      </w:r>
    </w:p>
    <w:tbl>
      <w:tblPr>
        <w:tblW w:w="9360" w:type="dxa"/>
        <w:jc w:val="start"/>
        <w:tblInd w:w="0" w:type="dxa"/>
        <w:tblLayout w:type="fixed"/>
        <w:tblCellMar>
          <w:top w:w="60" w:type="dxa"/>
          <w:start w:w="100" w:type="dxa"/>
          <w:bottom w:w="60" w:type="dxa"/>
          <w:end w:w="100" w:type="dxa"/>
        </w:tblCellMar>
      </w:tblPr>
      <w:tblGrid>
        <w:gridCol w:w="3200"/>
        <w:gridCol w:w="6160"/>
      </w:tblGrid>
      <w:tr>
        <w:trPr>
          <w:tblHeader w:val="true"/>
        </w:trPr>
        <w:tc>
          <w:tcPr>
            <w:tcW w:w="3200"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Element</w:t>
            </w:r>
          </w:p>
        </w:tc>
        <w:tc>
          <w:tcPr>
            <w:tcW w:w="61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Value</w:t>
            </w:r>
          </w:p>
        </w:tc>
      </w:tr>
      <w:tr>
        <w:trPr/>
        <w:tc>
          <w:tcPr>
            <w:tcW w:w="32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Namespace name</w:t>
            </w:r>
          </w:p>
        </w:tc>
        <w:tc>
          <w:tcPr>
            <w:tcW w:w="6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"(Tr) IEC 61850-CEI016:2022"</w:t>
            </w:r>
          </w:p>
        </w:tc>
      </w:tr>
      <w:tr>
        <w:trPr/>
        <w:tc>
          <w:tcPr>
            <w:tcW w:w="32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Namespace version / revision</w:t>
            </w:r>
          </w:p>
        </w:tc>
        <w:tc>
          <w:tcPr>
            <w:tcW w:w="6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2022 / 1</w:t>
            </w:r>
          </w:p>
        </w:tc>
      </w:tr>
      <w:tr>
        <w:trPr/>
        <w:tc>
          <w:tcPr>
            <w:tcW w:w="32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Namespace release date</w:t>
            </w:r>
          </w:p>
        </w:tc>
        <w:tc>
          <w:tcPr>
            <w:tcW w:w="6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1-04-2022</w:t>
            </w:r>
          </w:p>
        </w:tc>
      </w:tr>
      <w:tr>
        <w:trPr/>
        <w:tc>
          <w:tcPr>
            <w:tcW w:w="32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Logical Device</w:t>
            </w:r>
          </w:p>
        </w:tc>
        <w:tc>
          <w:tcPr>
            <w:tcW w:w="6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Single LD: LD_Plant (contains all Logical Nodes)</w:t>
            </w:r>
          </w:p>
        </w:tc>
      </w:tr>
      <w:tr>
        <w:trPr/>
        <w:tc>
          <w:tcPr>
            <w:tcW w:w="32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LN prefixes by plant section</w:t>
            </w:r>
          </w:p>
        </w:tc>
        <w:tc>
          <w:tcPr>
            <w:tcW w:w="6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Global (whole plant), St (storage), GenPV, GenWi, GenTer, GenIdr</w:t>
            </w:r>
          </w:p>
        </w:tc>
      </w:tr>
      <w:tr>
        <w:trPr/>
        <w:tc>
          <w:tcPr>
            <w:tcW w:w="32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Single Generating Unit (SGG) instances</w:t>
            </w:r>
          </w:p>
        </w:tc>
        <w:tc>
          <w:tcPr>
            <w:tcW w:w="6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Multi-instance, N = 1..99</w:t>
            </w:r>
          </w:p>
        </w:tc>
      </w:tr>
      <w:tr>
        <w:trPr/>
        <w:tc>
          <w:tcPr>
            <w:tcW w:w="3200"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Mandatory associated attributes</w:t>
            </w:r>
          </w:p>
        </w:tc>
        <w:tc>
          <w:tcPr>
            <w:tcW w:w="6160"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q (quality) and t (timestamp), wherever required by IEC 61850</w:t>
            </w:r>
          </w:p>
        </w:tc>
      </w:tr>
    </w:tbl>
    <w:p>
      <w:pPr>
        <w:pStyle w:val="Normal"/>
        <w:spacing w:before="0" w:after="80"/>
        <w:rPr/>
      </w:pPr>
      <w:r>
        <w:rPr>
          <w:rFonts w:eastAsia="Calibri" w:cs="Calibri"/>
          <w:b w:val="false"/>
          <w:bCs w:val="false"/>
          <w:color w:val="000000"/>
          <w:sz w:val="21"/>
          <w:szCs w:val="21"/>
        </w:rPr>
        <w:t>Presence-condition attribute values used throughout the CCI data tables (extension to standard M/O/C):</w:t>
      </w:r>
    </w:p>
    <w:p>
      <w:pPr>
        <w:pStyle w:val="ListParagraph"/>
        <w:numPr>
          <w:ilvl w:val="0"/>
          <w:numId w:val="1"/>
        </w:numPr>
        <w:spacing w:before="0" w:after="80"/>
        <w:rPr/>
      </w:pPr>
      <w:r>
        <w:rPr>
          <w:rFonts w:eastAsia="Calibri" w:cs="Calibri"/>
          <w:sz w:val="21"/>
          <w:szCs w:val="21"/>
        </w:rPr>
        <w:t>M = Mandatory (prescribed by the standard).</w:t>
      </w:r>
    </w:p>
    <w:p>
      <w:pPr>
        <w:pStyle w:val="ListParagraph"/>
        <w:numPr>
          <w:ilvl w:val="0"/>
          <w:numId w:val="1"/>
        </w:numPr>
        <w:spacing w:before="0" w:after="80"/>
        <w:rPr/>
      </w:pPr>
      <w:r>
        <w:rPr>
          <w:rFonts w:eastAsia="Calibri" w:cs="Calibri"/>
          <w:sz w:val="21"/>
          <w:szCs w:val="21"/>
        </w:rPr>
        <w:t>O = Optional (provided by the standard).</w:t>
      </w:r>
    </w:p>
    <w:p>
      <w:pPr>
        <w:pStyle w:val="ListParagraph"/>
        <w:numPr>
          <w:ilvl w:val="0"/>
          <w:numId w:val="1"/>
        </w:numPr>
        <w:spacing w:before="0" w:after="80"/>
        <w:rPr/>
      </w:pPr>
      <w:r>
        <w:rPr>
          <w:rFonts w:eastAsia="Calibri" w:cs="Calibri"/>
          <w:sz w:val="21"/>
          <w:szCs w:val="21"/>
        </w:rPr>
        <w:t>C = Conditional (per standard-defined conditions).</w:t>
      </w:r>
    </w:p>
    <w:p>
      <w:pPr>
        <w:pStyle w:val="ListParagraph"/>
        <w:numPr>
          <w:ilvl w:val="0"/>
          <w:numId w:val="1"/>
        </w:numPr>
        <w:spacing w:before="0" w:after="80"/>
        <w:rPr/>
      </w:pPr>
      <w:r>
        <w:rPr>
          <w:rFonts w:eastAsia="Calibri" w:cs="Calibri"/>
          <w:sz w:val="21"/>
          <w:szCs w:val="21"/>
        </w:rPr>
        <w:t>R = Required (standardized as O/C by IEC 61850, but required to enable Annex O functions).</w:t>
      </w:r>
    </w:p>
    <w:p>
      <w:pPr>
        <w:pStyle w:val="ListParagraph"/>
        <w:numPr>
          <w:ilvl w:val="0"/>
          <w:numId w:val="1"/>
        </w:numPr>
        <w:spacing w:before="0" w:after="80"/>
        <w:rPr/>
      </w:pPr>
      <w:r>
        <w:rPr>
          <w:rFonts w:eastAsia="Calibri" w:cs="Calibri"/>
          <w:sz w:val="21"/>
          <w:szCs w:val="21"/>
        </w:rPr>
        <w:t>E = Extension (not present in the base standard, required for Annex O functions).</w:t>
      </w:r>
    </w:p>
    <w:p>
      <w:pPr>
        <w:pStyle w:val="ListParagraph"/>
        <w:numPr>
          <w:ilvl w:val="0"/>
          <w:numId w:val="1"/>
        </w:numPr>
        <w:spacing w:before="0" w:after="80"/>
        <w:rPr/>
      </w:pPr>
      <w:r>
        <w:rPr>
          <w:rFonts w:eastAsia="Calibri" w:cs="Calibri"/>
          <w:sz w:val="21"/>
          <w:szCs w:val="21"/>
        </w:rPr>
        <w:t>F = Forbidden (not applicable for this presence condition).</w:t>
      </w:r>
    </w:p>
    <w:p>
      <w:pPr>
        <w:pStyle w:val="Normal"/>
        <w:spacing w:before="0" w:after="200"/>
        <w:rPr/>
      </w:pPr>
      <w:r>
        <w:rPr>
          <w:rFonts w:eastAsia="Calibri" w:cs="Calibri"/>
          <w:i/>
          <w:iCs/>
          <w:color w:val="666666"/>
          <w:sz w:val="18"/>
          <w:szCs w:val="18"/>
        </w:rPr>
        <w:t>Source (Annex T): T.3.3.1 "IEC 61850 data model of information associated with the CCI"; Table 94, Table 95, Table 96.</w:t>
      </w:r>
    </w:p>
    <w:p>
      <w:pPr>
        <w:pStyle w:val="Heading2"/>
        <w:spacing w:before="240" w:after="120"/>
        <w:rPr/>
      </w:pPr>
      <w:r>
        <w:rPr>
          <w:rFonts w:eastAsia="Calibri" w:cs="Calibri" w:ascii="Calibri" w:hAnsi="Calibri"/>
          <w:b/>
          <w:bCs/>
          <w:color w:val="1F6F54"/>
          <w:sz w:val="24"/>
          <w:szCs w:val="24"/>
        </w:rPr>
        <w:t>6.1 Key Logical Nodes Reference</w:t>
      </w:r>
    </w:p>
    <w:tbl>
      <w:tblPr>
        <w:tblW w:w="9360" w:type="dxa"/>
        <w:jc w:val="start"/>
        <w:tblInd w:w="0" w:type="dxa"/>
        <w:tblLayout w:type="fixed"/>
        <w:tblCellMar>
          <w:top w:w="60" w:type="dxa"/>
          <w:start w:w="100" w:type="dxa"/>
          <w:bottom w:w="60" w:type="dxa"/>
          <w:end w:w="100" w:type="dxa"/>
        </w:tblCellMar>
      </w:tblPr>
      <w:tblGrid>
        <w:gridCol w:w="1799"/>
        <w:gridCol w:w="2900"/>
        <w:gridCol w:w="4661"/>
      </w:tblGrid>
      <w:tr>
        <w:trPr>
          <w:tblHeader w:val="true"/>
        </w:trPr>
        <w:tc>
          <w:tcPr>
            <w:tcW w:w="17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LN class</w:t>
            </w:r>
          </w:p>
        </w:tc>
        <w:tc>
          <w:tcPr>
            <w:tcW w:w="29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Typical prefix</w:t>
            </w:r>
          </w:p>
        </w:tc>
        <w:tc>
          <w:tcPr>
            <w:tcW w:w="4661"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Function</w:t>
            </w:r>
          </w:p>
        </w:tc>
      </w:tr>
      <w:tr>
        <w:trPr/>
        <w:tc>
          <w:tcPr>
            <w:tcW w:w="17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LPHD1</w:t>
            </w:r>
          </w:p>
        </w:tc>
        <w:tc>
          <w:tcPr>
            <w:tcW w:w="2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w:t>
            </w:r>
          </w:p>
        </w:tc>
        <w:tc>
          <w:tcPr>
            <w:tcW w:w="46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Physical device identity: PhyNam (vendor, swRev, location = POD identifier)</w:t>
            </w:r>
          </w:p>
        </w:tc>
      </w:tr>
      <w:tr>
        <w:trPr/>
        <w:tc>
          <w:tcPr>
            <w:tcW w:w="17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DPCC1/2/3</w:t>
            </w:r>
          </w:p>
        </w:tc>
        <w:tc>
          <w:tcPr>
            <w:tcW w:w="2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PdC_Wi, PdC_Wa, PdC_Qi, PdC_Qc, PdC_VA</w:t>
            </w:r>
          </w:p>
        </w:tc>
        <w:tc>
          <w:tcPr>
            <w:tcW w:w="46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Nameplate power vector at PdC (§4)</w:t>
            </w:r>
          </w:p>
        </w:tc>
      </w:tr>
      <w:tr>
        <w:trPr/>
        <w:tc>
          <w:tcPr>
            <w:tcW w:w="17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DECP1</w:t>
            </w:r>
          </w:p>
        </w:tc>
        <w:tc>
          <w:tcPr>
            <w:tcW w:w="2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DisFR</w:t>
            </w:r>
          </w:p>
        </w:tc>
        <w:tc>
          <w:tcPr>
            <w:tcW w:w="46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Overall plant readiness for control functions (Beh)</w:t>
            </w:r>
          </w:p>
        </w:tc>
      </w:tr>
      <w:tr>
        <w:trPr/>
        <w:tc>
          <w:tcPr>
            <w:tcW w:w="17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DGEN1 / DSTO1</w:t>
            </w:r>
          </w:p>
        </w:tc>
        <w:tc>
          <w:tcPr>
            <w:tcW w:w="2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DisFR</w:t>
            </w:r>
          </w:p>
        </w:tc>
        <w:tc>
          <w:tcPr>
            <w:tcW w:w="46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Generation / storage macrogroup readiness for control</w:t>
            </w:r>
          </w:p>
        </w:tc>
      </w:tr>
      <w:tr>
        <w:trPr/>
        <w:tc>
          <w:tcPr>
            <w:tcW w:w="17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MMXU1 / MMXU2</w:t>
            </w:r>
          </w:p>
        </w:tc>
        <w:tc>
          <w:tcPr>
            <w:tcW w:w="2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PdC, GenPV/Wi/Ter/Idr, St, SGG</w:t>
            </w:r>
          </w:p>
        </w:tc>
        <w:tc>
          <w:tcPr>
            <w:tcW w:w="46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Measurements (§3)</w:t>
            </w:r>
          </w:p>
        </w:tc>
      </w:tr>
      <w:tr>
        <w:trPr/>
        <w:tc>
          <w:tcPr>
            <w:tcW w:w="17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XCBR1</w:t>
            </w:r>
          </w:p>
        </w:tc>
        <w:tc>
          <w:tcPr>
            <w:tcW w:w="2900"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IDG</w:t>
            </w:r>
          </w:p>
        </w:tc>
        <w:tc>
          <w:tcPr>
            <w:tcW w:w="46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Main power plant breaker position (Pos, Open/Closed)</w:t>
            </w:r>
          </w:p>
        </w:tc>
      </w:tr>
      <w:tr>
        <w:trPr/>
        <w:tc>
          <w:tcPr>
            <w:tcW w:w="17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DGEN2</w:t>
            </w:r>
          </w:p>
        </w:tc>
        <w:tc>
          <w:tcPr>
            <w:tcW w:w="29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SSGG</w:t>
            </w:r>
          </w:p>
        </w:tc>
        <w:tc>
          <w:tcPr>
            <w:tcW w:w="46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Single Generating Unit operating status (Health) + ID (GnGrId), N=1..99</w:t>
            </w:r>
          </w:p>
        </w:tc>
      </w:tr>
      <w:tr>
        <w:trPr/>
        <w:tc>
          <w:tcPr>
            <w:tcW w:w="17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DWMX1 / DAGC1 / DVAR1 / DFPF1 / DVVR1 / DPMC1 / DECP2 / DPFW1</w:t>
            </w:r>
          </w:p>
        </w:tc>
        <w:tc>
          <w:tcPr>
            <w:tcW w:w="290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Wlim, WSd/WSa, VArSd/VArSa, PFSP, VArV, PFW</w:t>
            </w:r>
          </w:p>
        </w:tc>
        <w:tc>
          <w:tcPr>
            <w:tcW w:w="4661"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Control functions, §5</w:t>
            </w:r>
          </w:p>
        </w:tc>
      </w:tr>
    </w:tbl>
    <w:p>
      <w:pPr>
        <w:pStyle w:val="Heading1"/>
        <w:spacing w:before="320" w:after="160"/>
        <w:rPr/>
      </w:pPr>
      <w:r>
        <w:rPr>
          <w:rFonts w:eastAsia="Calibri" w:cs="Calibri" w:ascii="Calibri" w:hAnsi="Calibri"/>
          <w:b/>
          <w:bCs/>
          <w:color w:val="1F6F54"/>
          <w:sz w:val="28"/>
          <w:szCs w:val="28"/>
        </w:rPr>
        <w:t>7. ACSI Services and Access Privileges (T.3.3.2 / T.3.3.4.3)</w:t>
      </w:r>
    </w:p>
    <w:p>
      <w:pPr>
        <w:pStyle w:val="Normal"/>
        <w:spacing w:before="0" w:after="160"/>
        <w:rPr/>
      </w:pPr>
      <w:r>
        <w:rPr>
          <w:rFonts w:eastAsia="Calibri" w:cs="Calibri"/>
          <w:b w:val="false"/>
          <w:bCs w:val="false"/>
          <w:color w:val="000000"/>
          <w:sz w:val="21"/>
          <w:szCs w:val="21"/>
        </w:rPr>
        <w:t>The IEC 61850 server shall implement, at minimum, the following ACSI service classes (IEC 61850-7-2), each mapped to a privilege:</w:t>
      </w:r>
    </w:p>
    <w:tbl>
      <w:tblPr>
        <w:tblW w:w="9360" w:type="dxa"/>
        <w:jc w:val="start"/>
        <w:tblInd w:w="0" w:type="dxa"/>
        <w:tblLayout w:type="fixed"/>
        <w:tblCellMar>
          <w:top w:w="60" w:type="dxa"/>
          <w:start w:w="100" w:type="dxa"/>
          <w:bottom w:w="60" w:type="dxa"/>
          <w:end w:w="100" w:type="dxa"/>
        </w:tblCellMar>
      </w:tblPr>
      <w:tblGrid>
        <w:gridCol w:w="2799"/>
        <w:gridCol w:w="4261"/>
        <w:gridCol w:w="2300"/>
      </w:tblGrid>
      <w:tr>
        <w:trPr>
          <w:tblHeader w:val="true"/>
        </w:trPr>
        <w:tc>
          <w:tcPr>
            <w:tcW w:w="27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ACSI class</w:t>
            </w:r>
          </w:p>
        </w:tc>
        <w:tc>
          <w:tcPr>
            <w:tcW w:w="426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Services</w:t>
            </w:r>
          </w:p>
        </w:tc>
        <w:tc>
          <w:tcPr>
            <w:tcW w:w="230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Privilege</w:t>
            </w:r>
          </w:p>
        </w:tc>
      </w:tr>
      <w:tr>
        <w:trPr/>
        <w:tc>
          <w:tcPr>
            <w:tcW w:w="27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Server / Association / LogicalDevice</w:t>
            </w:r>
          </w:p>
        </w:tc>
        <w:tc>
          <w:tcPr>
            <w:tcW w:w="426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GetServerDirectory, Release, Abort, GetLogicalDeviceDirectory</w:t>
            </w:r>
          </w:p>
        </w:tc>
        <w:tc>
          <w:tcPr>
            <w:tcW w:w="230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Listobjects</w:t>
            </w:r>
          </w:p>
        </w:tc>
      </w:tr>
      <w:tr>
        <w:trPr/>
        <w:tc>
          <w:tcPr>
            <w:tcW w:w="27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Logical Node</w:t>
            </w:r>
          </w:p>
        </w:tc>
        <w:tc>
          <w:tcPr>
            <w:tcW w:w="426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GetLogicalNodeDirectory, GetAllDataValues</w:t>
            </w:r>
          </w:p>
        </w:tc>
        <w:tc>
          <w:tcPr>
            <w:tcW w:w="230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Listobjects, Readvalues</w:t>
            </w:r>
          </w:p>
        </w:tc>
      </w:tr>
      <w:tr>
        <w:trPr/>
        <w:tc>
          <w:tcPr>
            <w:tcW w:w="27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Data Object</w:t>
            </w:r>
          </w:p>
        </w:tc>
        <w:tc>
          <w:tcPr>
            <w:tcW w:w="426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GetDataValues, SetDataValues, GetDataDirectory, GetDataDefinition</w:t>
            </w:r>
          </w:p>
        </w:tc>
        <w:tc>
          <w:tcPr>
            <w:tcW w:w="230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Readvalues, Control/config, Listobjects</w:t>
            </w:r>
          </w:p>
        </w:tc>
      </w:tr>
      <w:tr>
        <w:trPr/>
        <w:tc>
          <w:tcPr>
            <w:tcW w:w="27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DataSet</w:t>
            </w:r>
          </w:p>
        </w:tc>
        <w:tc>
          <w:tcPr>
            <w:tcW w:w="4261" w:type="dxa"/>
            <w:tcBorders>
              <w:top w:val="single" w:sz="4" w:space="0" w:color="CCCCCC"/>
              <w:start w:val="single" w:sz="4" w:space="0" w:color="CCCCCC"/>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GetDataSetValues, GetDataSetDirectory (Set/Create/Delete NOT applicable)</w:t>
            </w:r>
          </w:p>
        </w:tc>
        <w:tc>
          <w:tcPr>
            <w:tcW w:w="230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Dataset</w:t>
            </w:r>
          </w:p>
        </w:tc>
      </w:tr>
      <w:tr>
        <w:trPr/>
        <w:tc>
          <w:tcPr>
            <w:tcW w:w="2799"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Buffered / Unbuffered Report Control Block</w:t>
            </w:r>
          </w:p>
        </w:tc>
        <w:tc>
          <w:tcPr>
            <w:tcW w:w="4261" w:type="dxa"/>
            <w:tcBorders>
              <w:top w:val="single" w:sz="4" w:space="0" w:color="CCCCCC"/>
              <w:start w:val="single" w:sz="4" w:space="0" w:color="CCCCCC"/>
              <w:bottom w:val="single" w:sz="4" w:space="0" w:color="AAAAAA"/>
              <w:end w:val="single" w:sz="4" w:space="0" w:color="CCCCCC"/>
            </w:tcBorders>
          </w:tcPr>
          <w:p>
            <w:pPr>
              <w:pStyle w:val="Normal"/>
              <w:rPr/>
            </w:pPr>
            <w:r>
              <w:rPr>
                <w:rFonts w:eastAsia="Calibri" w:cs="Calibri"/>
                <w:b w:val="false"/>
                <w:bCs w:val="false"/>
                <w:color w:val="000000"/>
                <w:sz w:val="20"/>
                <w:szCs w:val="20"/>
              </w:rPr>
              <w:t>Report, GetBRCBValues/GetURCBValues (Set NOT applicable)</w:t>
            </w:r>
          </w:p>
        </w:tc>
        <w:tc>
          <w:tcPr>
            <w:tcW w:w="2300"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Reporting</w:t>
            </w:r>
          </w:p>
        </w:tc>
      </w:tr>
    </w:tbl>
    <w:p>
      <w:pPr>
        <w:pStyle w:val="Normal"/>
        <w:spacing w:before="0" w:after="80"/>
        <w:rPr/>
      </w:pPr>
      <w:r>
        <w:rPr>
          <w:rFonts w:eastAsia="Calibri" w:cs="Calibri"/>
          <w:b w:val="false"/>
          <w:bCs w:val="false"/>
          <w:color w:val="000000"/>
          <w:sz w:val="21"/>
          <w:szCs w:val="21"/>
        </w:rPr>
        <w:t>Two custom mandatory roles (IEC 62351-8) must be implemented in addition to the seven standard roles:</w:t>
      </w:r>
    </w:p>
    <w:tbl>
      <w:tblPr>
        <w:tblW w:w="9360" w:type="dxa"/>
        <w:jc w:val="start"/>
        <w:tblInd w:w="0" w:type="dxa"/>
        <w:tblLayout w:type="fixed"/>
        <w:tblCellMar>
          <w:top w:w="60" w:type="dxa"/>
          <w:start w:w="100" w:type="dxa"/>
          <w:bottom w:w="60" w:type="dxa"/>
          <w:end w:w="100" w:type="dxa"/>
        </w:tblCellMar>
      </w:tblPr>
      <w:tblGrid>
        <w:gridCol w:w="2299"/>
        <w:gridCol w:w="1001"/>
        <w:gridCol w:w="1100"/>
        <w:gridCol w:w="4960"/>
      </w:tblGrid>
      <w:tr>
        <w:trPr>
          <w:tblHeader w:val="true"/>
        </w:trPr>
        <w:tc>
          <w:tcPr>
            <w:tcW w:w="22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Role</w:t>
            </w:r>
          </w:p>
        </w:tc>
        <w:tc>
          <w:tcPr>
            <w:tcW w:w="1001"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Role-ID</w:t>
            </w:r>
          </w:p>
        </w:tc>
        <w:tc>
          <w:tcPr>
            <w:tcW w:w="1100" w:type="dxa"/>
            <w:tcBorders>
              <w:top w:val="single" w:sz="4" w:space="0" w:color="AAAAAA"/>
              <w:start w:val="single" w:sz="4" w:space="0" w:color="CCCCCC"/>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Revision</w:t>
            </w:r>
          </w:p>
        </w:tc>
        <w:tc>
          <w:tcPr>
            <w:tcW w:w="49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Privileges</w:t>
            </w:r>
          </w:p>
        </w:tc>
      </w:tr>
      <w:tr>
        <w:trPr/>
        <w:tc>
          <w:tcPr>
            <w:tcW w:w="22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DSO_OPERATOR</w:t>
            </w:r>
          </w:p>
        </w:tc>
        <w:tc>
          <w:tcPr>
            <w:tcW w:w="1001"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w:t>
            </w:r>
          </w:p>
        </w:tc>
        <w:tc>
          <w:tcPr>
            <w:tcW w:w="1100" w:type="dxa"/>
            <w:tcBorders>
              <w:top w:val="single" w:sz="4" w:space="0" w:color="CCCCCC"/>
              <w:start w:val="single" w:sz="4" w:space="0" w:color="CCCCCC"/>
              <w:bottom w:val="single" w:sz="4" w:space="0" w:color="CCCCCC"/>
              <w:end w:val="single" w:sz="4" w:space="0" w:color="CCCCCC"/>
            </w:tcBorders>
          </w:tcPr>
          <w:p>
            <w:pPr>
              <w:pStyle w:val="Normal"/>
              <w:rPr/>
            </w:pPr>
            <w:r>
              <w:rPr>
                <w:rFonts w:eastAsia="Calibri" w:cs="Calibri"/>
                <w:b w:val="false"/>
                <w:bCs w:val="false"/>
                <w:color w:val="000000"/>
                <w:sz w:val="20"/>
                <w:szCs w:val="20"/>
              </w:rPr>
              <w:t>1.0</w:t>
            </w:r>
          </w:p>
        </w:tc>
        <w:tc>
          <w:tcPr>
            <w:tcW w:w="49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LISTOBJECTS, READVALUES, DATASET (read-only), REPORTING (write only for report enable), CONTROL + CONFIG on DSO-reserved Data Objects (Table 98)</w:t>
            </w:r>
          </w:p>
        </w:tc>
      </w:tr>
      <w:tr>
        <w:trPr/>
        <w:tc>
          <w:tcPr>
            <w:tcW w:w="22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AGGREGATOR_OPERATOR</w:t>
            </w:r>
          </w:p>
        </w:tc>
        <w:tc>
          <w:tcPr>
            <w:tcW w:w="1001"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-2</w:t>
            </w:r>
          </w:p>
        </w:tc>
        <w:tc>
          <w:tcPr>
            <w:tcW w:w="1100" w:type="dxa"/>
            <w:tcBorders>
              <w:top w:val="single" w:sz="4" w:space="0" w:color="CCCCCC"/>
              <w:start w:val="single" w:sz="4" w:space="0" w:color="CCCCCC"/>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1.0</w:t>
            </w:r>
          </w:p>
        </w:tc>
        <w:tc>
          <w:tcPr>
            <w:tcW w:w="496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Same structure, restricted to Aggregator-reserved Data Objects (Table 99)</w:t>
            </w:r>
          </w:p>
        </w:tc>
      </w:tr>
    </w:tbl>
    <w:p>
      <w:pPr>
        <w:pStyle w:val="ListParagraph"/>
        <w:numPr>
          <w:ilvl w:val="0"/>
          <w:numId w:val="1"/>
        </w:numPr>
        <w:spacing w:before="0" w:after="80"/>
        <w:rPr/>
      </w:pPr>
      <w:r>
        <w:rPr>
          <w:rFonts w:eastAsia="Calibri" w:cs="Calibri"/>
          <w:sz w:val="21"/>
          <w:szCs w:val="21"/>
        </w:rPr>
        <w:t>Access token formats: profile A (X.509 public-key certificate extension) or profile B (X.509 attribute certificate) mandatory; profile C (JSON web token) and D (RADIUS) optional.</w:t>
      </w:r>
    </w:p>
    <w:p>
      <w:pPr>
        <w:pStyle w:val="ListParagraph"/>
        <w:numPr>
          <w:ilvl w:val="0"/>
          <w:numId w:val="1"/>
        </w:numPr>
        <w:spacing w:before="0" w:after="80"/>
        <w:rPr/>
      </w:pPr>
      <w:r>
        <w:rPr>
          <w:rFonts w:eastAsia="Calibri" w:cs="Calibri"/>
          <w:sz w:val="21"/>
          <w:szCs w:val="21"/>
        </w:rPr>
        <w:t>Attribute Certificates (profile B / PMI): recommended short validity, &lt; 24 h, to limit replay risk.</w:t>
      </w:r>
    </w:p>
    <w:p>
      <w:pPr>
        <w:pStyle w:val="ListParagraph"/>
        <w:numPr>
          <w:ilvl w:val="0"/>
          <w:numId w:val="1"/>
        </w:numPr>
        <w:spacing w:before="0" w:after="80"/>
        <w:rPr/>
      </w:pPr>
      <w:r>
        <w:rPr>
          <w:rFonts w:eastAsia="Calibri" w:cs="Calibri"/>
          <w:sz w:val="21"/>
          <w:szCs w:val="21"/>
        </w:rPr>
        <w:t>Non-DSO/Aggregator authenticated subjects get privileges consistent only with their assigned role — no implicit escalation.</w:t>
      </w:r>
    </w:p>
    <w:p>
      <w:pPr>
        <w:pStyle w:val="Normal"/>
        <w:spacing w:before="0" w:after="200"/>
        <w:rPr/>
      </w:pPr>
      <w:r>
        <w:rPr>
          <w:rFonts w:eastAsia="Calibri" w:cs="Calibri"/>
          <w:i/>
          <w:iCs/>
          <w:color w:val="666666"/>
          <w:sz w:val="18"/>
          <w:szCs w:val="18"/>
        </w:rPr>
        <w:t>Source (Annex T): T.3.3.2 "ACSI services"; T.3.3.4.3 "Role Management"; Tables 97–102.</w:t>
      </w:r>
    </w:p>
    <w:p>
      <w:pPr>
        <w:pStyle w:val="Heading1"/>
        <w:spacing w:before="320" w:after="160"/>
        <w:rPr/>
      </w:pPr>
      <w:r>
        <w:rPr>
          <w:rFonts w:eastAsia="Calibri" w:cs="Calibri" w:ascii="Calibri" w:hAnsi="Calibri"/>
          <w:b/>
          <w:bCs/>
          <w:color w:val="1F6F54"/>
          <w:sz w:val="28"/>
          <w:szCs w:val="28"/>
        </w:rPr>
        <w:t>8. Cybersecurity Profile (T.3.3.4)</w:t>
      </w:r>
    </w:p>
    <w:p>
      <w:pPr>
        <w:pStyle w:val="Heading2"/>
        <w:spacing w:before="240" w:after="120"/>
        <w:rPr/>
      </w:pPr>
      <w:r>
        <w:rPr>
          <w:rFonts w:eastAsia="Calibri" w:cs="Calibri" w:ascii="Calibri" w:hAnsi="Calibri"/>
          <w:b/>
          <w:bCs/>
          <w:color w:val="1F6F54"/>
          <w:sz w:val="24"/>
          <w:szCs w:val="24"/>
        </w:rPr>
        <w:t>8.1 Time Synchronization (T.3.3.4.5)</w:t>
      </w:r>
    </w:p>
    <w:tbl>
      <w:tblPr>
        <w:tblW w:w="9360" w:type="dxa"/>
        <w:jc w:val="start"/>
        <w:tblInd w:w="0" w:type="dxa"/>
        <w:tblLayout w:type="fixed"/>
        <w:tblCellMar>
          <w:top w:w="60" w:type="dxa"/>
          <w:start w:w="100" w:type="dxa"/>
          <w:bottom w:w="60" w:type="dxa"/>
          <w:end w:w="100" w:type="dxa"/>
        </w:tblCellMar>
      </w:tblPr>
      <w:tblGrid>
        <w:gridCol w:w="4400"/>
        <w:gridCol w:w="4960"/>
      </w:tblGrid>
      <w:tr>
        <w:trPr>
          <w:tblHeader w:val="true"/>
        </w:trPr>
        <w:tc>
          <w:tcPr>
            <w:tcW w:w="4400"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49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Requirement</w:t>
            </w:r>
          </w:p>
        </w:tc>
      </w:tr>
      <w:tr>
        <w:trPr/>
        <w:tc>
          <w:tcPr>
            <w:tcW w:w="44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Time reference</w:t>
            </w:r>
          </w:p>
        </w:tc>
        <w:tc>
          <w:tcPr>
            <w:tcW w:w="49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UTC (Coordinated Universal Time)</w:t>
            </w:r>
          </w:p>
        </w:tc>
      </w:tr>
      <w:tr>
        <w:trPr/>
        <w:tc>
          <w:tcPr>
            <w:tcW w:w="44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Reference-time uncertainty</w:t>
            </w:r>
          </w:p>
        </w:tc>
        <w:tc>
          <w:tcPr>
            <w:tcW w:w="49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 xml:space="preserve">≤ </w:t>
            </w:r>
            <w:r>
              <w:rPr>
                <w:rFonts w:eastAsia="Calibri" w:cs="Calibri"/>
                <w:b w:val="false"/>
                <w:bCs w:val="false"/>
                <w:color w:val="000000"/>
                <w:sz w:val="20"/>
                <w:szCs w:val="20"/>
              </w:rPr>
              <w:t>± 100 ms</w:t>
            </w:r>
          </w:p>
        </w:tc>
      </w:tr>
      <w:tr>
        <w:trPr/>
        <w:tc>
          <w:tcPr>
            <w:tcW w:w="44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Max clock deviation between MMS/E2E association peers</w:t>
            </w:r>
          </w:p>
        </w:tc>
        <w:tc>
          <w:tcPr>
            <w:tcW w:w="49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10 minutes — beyond this, the association SHALL fail</w:t>
            </w:r>
          </w:p>
        </w:tc>
      </w:tr>
      <w:tr>
        <w:trPr/>
        <w:tc>
          <w:tcPr>
            <w:tcW w:w="44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Network sync protocol</w:t>
            </w:r>
          </w:p>
        </w:tc>
        <w:tc>
          <w:tcPr>
            <w:tcW w:w="49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NTP, client, UDP port 123</w:t>
            </w:r>
          </w:p>
        </w:tc>
      </w:tr>
      <w:tr>
        <w:trPr/>
        <w:tc>
          <w:tcPr>
            <w:tcW w:w="44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Secure variant</w:t>
            </w:r>
          </w:p>
        </w:tc>
        <w:tc>
          <w:tcPr>
            <w:tcW w:w="49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Mandatory: NTS (IETF RFC 8915), TLS-based authentication</w:t>
            </w:r>
          </w:p>
        </w:tc>
      </w:tr>
      <w:tr>
        <w:trPr/>
        <w:tc>
          <w:tcPr>
            <w:tcW w:w="4400"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Server redundancy</w:t>
            </w:r>
          </w:p>
        </w:tc>
        <w:tc>
          <w:tcPr>
            <w:tcW w:w="4960"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Redundant NTP architecture required, to protect against "fake ticker" servers (n false tickers tolerated ⇒ 2n+1 servers)</w:t>
            </w:r>
          </w:p>
        </w:tc>
      </w:tr>
    </w:tbl>
    <w:p>
      <w:pPr>
        <w:pStyle w:val="Heading2"/>
        <w:spacing w:before="240" w:after="120"/>
        <w:rPr/>
      </w:pPr>
      <w:r>
        <w:rPr>
          <w:rFonts w:eastAsia="Calibri" w:cs="Calibri" w:ascii="Calibri" w:hAnsi="Calibri"/>
          <w:b/>
          <w:bCs/>
          <w:color w:val="1F6F54"/>
          <w:sz w:val="24"/>
          <w:szCs w:val="24"/>
        </w:rPr>
        <w:t>8.2 Transport Profile — TLS (IEC 62351-3)</w:t>
      </w:r>
    </w:p>
    <w:tbl>
      <w:tblPr>
        <w:tblW w:w="9360" w:type="dxa"/>
        <w:jc w:val="start"/>
        <w:tblInd w:w="0" w:type="dxa"/>
        <w:tblLayout w:type="fixed"/>
        <w:tblCellMar>
          <w:top w:w="60" w:type="dxa"/>
          <w:start w:w="100" w:type="dxa"/>
          <w:bottom w:w="60" w:type="dxa"/>
          <w:end w:w="100" w:type="dxa"/>
        </w:tblCellMar>
      </w:tblPr>
      <w:tblGrid>
        <w:gridCol w:w="3399"/>
        <w:gridCol w:w="5961"/>
      </w:tblGrid>
      <w:tr>
        <w:trPr>
          <w:tblHeader w:val="true"/>
        </w:trPr>
        <w:tc>
          <w:tcPr>
            <w:tcW w:w="33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5961"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Requirement</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Default TCP port (T-profile with TLS)</w:t>
            </w:r>
          </w:p>
        </w:tc>
        <w:tc>
          <w:tcPr>
            <w:tcW w:w="59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3782</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Minimum TLS version</w:t>
            </w:r>
          </w:p>
        </w:tc>
        <w:tc>
          <w:tcPr>
            <w:tcW w:w="59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v1.2</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Mandatory cipher suites</w:t>
            </w:r>
          </w:p>
        </w:tc>
        <w:tc>
          <w:tcPr>
            <w:tcW w:w="59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TLS_RSA_WITH_AES_128_CBC_SHA256; TLS_DHE_RSA_WITH_AES_128_GCM_SHA256; TLS_ECDHE_ECDSA_WITH_AES_128_GCM_SHA256</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Also required, disabled by default</w:t>
            </w:r>
          </w:p>
        </w:tc>
        <w:tc>
          <w:tcPr>
            <w:tcW w:w="59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TLS_RSA_WITH_NULL_SHA256 (no encryption; explicit enable procedure required)</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TLS renegotiation interval</w:t>
            </w:r>
          </w:p>
        </w:tc>
        <w:tc>
          <w:tcPr>
            <w:tcW w:w="59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Aligned to CRL update period (≥ half of it); never &lt; 10 minutes</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TLS session resumption</w:t>
            </w:r>
          </w:p>
        </w:tc>
        <w:tc>
          <w:tcPr>
            <w:tcW w:w="59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At least every 2 hours; shorter than renegotiation interval; aligned to CRL update</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Root certificates (CAs) supported</w:t>
            </w:r>
          </w:p>
        </w:tc>
        <w:tc>
          <w:tcPr>
            <w:tcW w:w="59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 xml:space="preserve">≥ </w:t>
            </w:r>
            <w:r>
              <w:rPr>
                <w:rFonts w:eastAsia="Calibri" w:cs="Calibri"/>
                <w:b w:val="false"/>
                <w:bCs w:val="false"/>
                <w:color w:val="000000"/>
                <w:sz w:val="20"/>
                <w:szCs w:val="20"/>
              </w:rPr>
              <w:t>5 different</w:t>
            </w:r>
          </w:p>
        </w:tc>
      </w:tr>
      <w:tr>
        <w:trPr/>
        <w:tc>
          <w:tcPr>
            <w:tcW w:w="33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Max public-key certificate size</w:t>
            </w:r>
          </w:p>
        </w:tc>
        <w:tc>
          <w:tcPr>
            <w:tcW w:w="59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8192 octets (must be handled at least up to this size)</w:t>
            </w:r>
          </w:p>
        </w:tc>
      </w:tr>
      <w:tr>
        <w:trPr/>
        <w:tc>
          <w:tcPr>
            <w:tcW w:w="33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CRL update frequency</w:t>
            </w:r>
          </w:p>
        </w:tc>
        <w:tc>
          <w:tcPr>
            <w:tcW w:w="59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 xml:space="preserve">≤ </w:t>
            </w:r>
            <w:r>
              <w:rPr>
                <w:rFonts w:eastAsia="Calibri" w:cs="Calibri"/>
                <w:b w:val="false"/>
                <w:bCs w:val="false"/>
                <w:color w:val="000000"/>
                <w:sz w:val="20"/>
                <w:szCs w:val="20"/>
              </w:rPr>
              <w:t>24 hours</w:t>
            </w:r>
          </w:p>
        </w:tc>
      </w:tr>
      <w:tr>
        <w:trPr/>
        <w:tc>
          <w:tcPr>
            <w:tcW w:w="33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OCSP response cache</w:t>
            </w:r>
          </w:p>
        </w:tc>
        <w:tc>
          <w:tcPr>
            <w:tcW w:w="5961"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 xml:space="preserve">≤ </w:t>
            </w:r>
            <w:r>
              <w:rPr>
                <w:rFonts w:eastAsia="Calibri" w:cs="Calibri"/>
                <w:b w:val="false"/>
                <w:bCs w:val="false"/>
                <w:color w:val="000000"/>
                <w:sz w:val="20"/>
                <w:szCs w:val="20"/>
              </w:rPr>
              <w:t>24 hours (active session not terminated solely for exceeding this)</w:t>
            </w:r>
          </w:p>
        </w:tc>
      </w:tr>
    </w:tbl>
    <w:p>
      <w:pPr>
        <w:pStyle w:val="Heading2"/>
        <w:spacing w:before="240" w:after="120"/>
        <w:rPr/>
      </w:pPr>
      <w:r>
        <w:rPr>
          <w:rFonts w:eastAsia="Calibri" w:cs="Calibri" w:ascii="Calibri" w:hAnsi="Calibri"/>
          <w:b/>
          <w:bCs/>
          <w:color w:val="1F6F54"/>
          <w:sz w:val="24"/>
          <w:szCs w:val="24"/>
        </w:rPr>
        <w:t>8.3 Cryptographic Algorithms and Key Lengths (T.3.3.4.1)</w:t>
      </w:r>
    </w:p>
    <w:tbl>
      <w:tblPr>
        <w:tblW w:w="9360" w:type="dxa"/>
        <w:jc w:val="start"/>
        <w:tblInd w:w="0" w:type="dxa"/>
        <w:tblLayout w:type="fixed"/>
        <w:tblCellMar>
          <w:top w:w="60" w:type="dxa"/>
          <w:start w:w="100" w:type="dxa"/>
          <w:bottom w:w="60" w:type="dxa"/>
          <w:end w:w="100" w:type="dxa"/>
        </w:tblCellMar>
      </w:tblPr>
      <w:tblGrid>
        <w:gridCol w:w="2999"/>
        <w:gridCol w:w="6361"/>
      </w:tblGrid>
      <w:tr>
        <w:trPr>
          <w:tblHeader w:val="true"/>
        </w:trPr>
        <w:tc>
          <w:tcPr>
            <w:tcW w:w="29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Element</w:t>
            </w:r>
          </w:p>
        </w:tc>
        <w:tc>
          <w:tcPr>
            <w:tcW w:w="6361"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Requirement</w:t>
            </w:r>
          </w:p>
        </w:tc>
      </w:tr>
      <w:tr>
        <w:trPr/>
        <w:tc>
          <w:tcPr>
            <w:tcW w:w="29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RSA key length</w:t>
            </w:r>
          </w:p>
        </w:tc>
        <w:tc>
          <w:tcPr>
            <w:tcW w:w="63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Minimum 2048 bit (recommended ≥ 3072 bit)</w:t>
            </w:r>
          </w:p>
        </w:tc>
      </w:tr>
      <w:tr>
        <w:trPr/>
        <w:tc>
          <w:tcPr>
            <w:tcW w:w="29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ECDSA key length</w:t>
            </w:r>
          </w:p>
        </w:tc>
        <w:tc>
          <w:tcPr>
            <w:tcW w:w="63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Minimum 256 bit (recommended ≥ 384 bit)</w:t>
            </w:r>
          </w:p>
        </w:tc>
      </w:tr>
      <w:tr>
        <w:trPr/>
        <w:tc>
          <w:tcPr>
            <w:tcW w:w="29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Hash (digital signature / ICV)</w:t>
            </w:r>
          </w:p>
        </w:tc>
        <w:tc>
          <w:tcPr>
            <w:tcW w:w="63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SHA-256</w:t>
            </w:r>
          </w:p>
        </w:tc>
      </w:tr>
      <w:tr>
        <w:trPr/>
        <w:tc>
          <w:tcPr>
            <w:tcW w:w="29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Digital signature algorithms</w:t>
            </w:r>
          </w:p>
        </w:tc>
        <w:tc>
          <w:tcPr>
            <w:tcW w:w="63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RSA-with-SHA256; ECDSA-with-SHA256</w:t>
            </w:r>
          </w:p>
        </w:tc>
      </w:tr>
      <w:tr>
        <w:trPr/>
        <w:tc>
          <w:tcPr>
            <w:tcW w:w="29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Integrity check (MAC)</w:t>
            </w:r>
          </w:p>
        </w:tc>
        <w:tc>
          <w:tcPr>
            <w:tcW w:w="63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hmacWithSHA256</w:t>
            </w:r>
          </w:p>
        </w:tc>
      </w:tr>
      <w:tr>
        <w:trPr/>
        <w:tc>
          <w:tcPr>
            <w:tcW w:w="29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Symmetric encryption</w:t>
            </w:r>
          </w:p>
        </w:tc>
        <w:tc>
          <w:tcPr>
            <w:tcW w:w="63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aes128-CBC / aes256-CBC; aes128-GCM / aes256-GCM (also give integrity+auth)</w:t>
            </w:r>
          </w:p>
        </w:tc>
      </w:tr>
      <w:tr>
        <w:trPr/>
        <w:tc>
          <w:tcPr>
            <w:tcW w:w="29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Diffie-Hellman groups</w:t>
            </w:r>
          </w:p>
        </w:tc>
        <w:tc>
          <w:tcPr>
            <w:tcW w:w="63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DH-14 (2048-bit, with RSA); ECDH: DH-23 (secp256r1) and DH-28 (brainpoolP256r1)</w:t>
            </w:r>
          </w:p>
        </w:tc>
      </w:tr>
      <w:tr>
        <w:trPr/>
        <w:tc>
          <w:tcPr>
            <w:tcW w:w="29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Application profile</w:t>
            </w:r>
          </w:p>
        </w:tc>
        <w:tc>
          <w:tcPr>
            <w:tcW w:w="6361"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End-to-End (E2E) security mandatory, per IEC 62351-4 (association + data-transfer phase)</w:t>
            </w:r>
          </w:p>
        </w:tc>
      </w:tr>
    </w:tbl>
    <w:p>
      <w:pPr>
        <w:pStyle w:val="Heading2"/>
        <w:spacing w:before="240" w:after="120"/>
        <w:rPr/>
      </w:pPr>
      <w:r>
        <w:rPr>
          <w:rFonts w:eastAsia="Calibri" w:cs="Calibri" w:ascii="Calibri" w:hAnsi="Calibri"/>
          <w:b/>
          <w:bCs/>
          <w:color w:val="1F6F54"/>
          <w:sz w:val="24"/>
          <w:szCs w:val="24"/>
        </w:rPr>
        <w:t>8.4 GOOSE Communication Security (T.3.3.4.2, informative)</w:t>
      </w:r>
    </w:p>
    <w:p>
      <w:pPr>
        <w:pStyle w:val="ListParagraph"/>
        <w:numPr>
          <w:ilvl w:val="0"/>
          <w:numId w:val="1"/>
        </w:numPr>
        <w:spacing w:before="0" w:after="80"/>
        <w:rPr/>
      </w:pPr>
      <w:r>
        <w:rPr>
          <w:rFonts w:eastAsia="Calibri" w:cs="Calibri"/>
          <w:sz w:val="21"/>
          <w:szCs w:val="21"/>
        </w:rPr>
        <w:t>GOOSE confidentiality is not mandatory (latency constraints), but integrity/authentication is expected via extended PDU (Reserved1/Reserved2 fields), HMAC-SHA256 or AES-GMAC, truncatable to 128/256 bit.</w:t>
      </w:r>
    </w:p>
    <w:p>
      <w:pPr>
        <w:pStyle w:val="ListParagraph"/>
        <w:numPr>
          <w:ilvl w:val="0"/>
          <w:numId w:val="1"/>
        </w:numPr>
        <w:spacing w:before="0" w:after="80"/>
        <w:rPr/>
      </w:pPr>
      <w:r>
        <w:rPr>
          <w:rFonts w:eastAsia="Calibri" w:cs="Calibri"/>
          <w:sz w:val="21"/>
          <w:szCs w:val="21"/>
        </w:rPr>
        <w:t>Group Key Management Protocol distributes current + next key with validity time references.</w:t>
      </w:r>
    </w:p>
    <w:p>
      <w:pPr>
        <w:pStyle w:val="ListParagraph"/>
        <w:numPr>
          <w:ilvl w:val="0"/>
          <w:numId w:val="1"/>
        </w:numPr>
        <w:spacing w:before="0" w:after="80"/>
        <w:rPr/>
      </w:pPr>
      <w:r>
        <w:rPr>
          <w:rFonts w:eastAsia="Calibri" w:cs="Calibri"/>
          <w:sz w:val="21"/>
          <w:szCs w:val="21"/>
        </w:rPr>
        <w:t>StNum/SqNum of received PDUs should be checked to detect potential replay; a PDU with lower values than previously received should be discarded even if multipath communication could explain it.</w:t>
      </w:r>
    </w:p>
    <w:p>
      <w:pPr>
        <w:pStyle w:val="Heading2"/>
        <w:spacing w:before="240" w:after="120"/>
        <w:rPr/>
      </w:pPr>
      <w:r>
        <w:rPr>
          <w:rFonts w:eastAsia="Calibri" w:cs="Calibri" w:ascii="Calibri" w:hAnsi="Calibri"/>
          <w:b/>
          <w:bCs/>
          <w:color w:val="1F6F54"/>
          <w:sz w:val="24"/>
          <w:szCs w:val="24"/>
        </w:rPr>
        <w:t>8.5 PKI — Certificate &amp; Key Lifecycle (T.3.3.4.9)</w:t>
      </w:r>
    </w:p>
    <w:p>
      <w:pPr>
        <w:pStyle w:val="ListParagraph"/>
        <w:numPr>
          <w:ilvl w:val="0"/>
          <w:numId w:val="1"/>
        </w:numPr>
        <w:spacing w:before="0" w:after="80"/>
        <w:rPr/>
      </w:pPr>
      <w:r>
        <w:rPr>
          <w:rFonts w:eastAsia="Calibri" w:cs="Calibri"/>
          <w:sz w:val="21"/>
          <w:szCs w:val="21"/>
        </w:rPr>
        <w:t>CCI shall generate/receive new key pairs when: no key pair present at start-up; change of controllership/ownership; command from an authorised entity; or suspected private-key compromise.</w:t>
      </w:r>
    </w:p>
    <w:p>
      <w:pPr>
        <w:pStyle w:val="ListParagraph"/>
        <w:numPr>
          <w:ilvl w:val="0"/>
          <w:numId w:val="1"/>
        </w:numPr>
        <w:spacing w:before="0" w:after="80"/>
        <w:rPr/>
      </w:pPr>
      <w:r>
        <w:rPr>
          <w:rFonts w:eastAsia="Calibri" w:cs="Calibri"/>
          <w:sz w:val="21"/>
          <w:szCs w:val="21"/>
        </w:rPr>
        <w:t>Enrolment protocol: at least one of SCEP (IETF RFC 8894, legacy pre-2015 versions excluded) or EST (IETF RFC 7030, over TLS 1.2+) shall be supported.</w:t>
      </w:r>
    </w:p>
    <w:p>
      <w:pPr>
        <w:pStyle w:val="ListParagraph"/>
        <w:numPr>
          <w:ilvl w:val="0"/>
          <w:numId w:val="1"/>
        </w:numPr>
        <w:spacing w:before="0" w:after="80"/>
        <w:rPr/>
      </w:pPr>
      <w:r>
        <w:rPr>
          <w:rFonts w:eastAsia="Calibri" w:cs="Calibri"/>
          <w:sz w:val="21"/>
          <w:szCs w:val="21"/>
        </w:rPr>
        <w:t>Certificate validity checking: both CRL and OCSP (RFC 6960) methods shall be supported; a nonce is mandatory in OCSP requests to prevent replay.</w:t>
      </w:r>
    </w:p>
    <w:p>
      <w:pPr>
        <w:pStyle w:val="ListParagraph"/>
        <w:numPr>
          <w:ilvl w:val="0"/>
          <w:numId w:val="1"/>
        </w:numPr>
        <w:spacing w:before="0" w:after="80"/>
        <w:rPr/>
      </w:pPr>
      <w:r>
        <w:rPr>
          <w:rFonts w:eastAsia="Calibri" w:cs="Calibri"/>
          <w:sz w:val="21"/>
          <w:szCs w:val="21"/>
        </w:rPr>
        <w:t>Trust Anchors required at minimum: DSO's CA, Administrative Domain's CA, Manufacturer's CA. Optional: firmware-update signing CA, Aggregator's CA, PKI-service TLS CA (e.g. for EST).</w:t>
      </w:r>
    </w:p>
    <w:p>
      <w:pPr>
        <w:pStyle w:val="ListParagraph"/>
        <w:numPr>
          <w:ilvl w:val="0"/>
          <w:numId w:val="1"/>
        </w:numPr>
        <w:spacing w:before="0" w:after="80"/>
        <w:rPr/>
      </w:pPr>
      <w:r>
        <w:rPr>
          <w:rFonts w:eastAsia="Calibri" w:cs="Calibri"/>
          <w:sz w:val="21"/>
          <w:szCs w:val="21"/>
        </w:rPr>
        <w:t>Certificate revocation grounds: suspected private-key compromise (device or CA), changed entity affiliation, replaced public-key certificate, CCI decommissioning, withdrawn role/privilege, suspected Attribute Authority key compromise.</w:t>
      </w:r>
    </w:p>
    <w:p>
      <w:pPr>
        <w:pStyle w:val="Heading2"/>
        <w:spacing w:before="240" w:after="120"/>
        <w:rPr/>
      </w:pPr>
      <w:r>
        <w:rPr>
          <w:rFonts w:eastAsia="Calibri" w:cs="Calibri" w:ascii="Calibri" w:hAnsi="Calibri"/>
          <w:b/>
          <w:bCs/>
          <w:color w:val="1F6F54"/>
          <w:sz w:val="24"/>
          <w:szCs w:val="24"/>
        </w:rPr>
        <w:t>8.6 Secure Boot &amp; Firmware Update (T.3.3.4.8)</w:t>
      </w:r>
    </w:p>
    <w:p>
      <w:pPr>
        <w:pStyle w:val="ListParagraph"/>
        <w:numPr>
          <w:ilvl w:val="0"/>
          <w:numId w:val="1"/>
        </w:numPr>
        <w:spacing w:before="0" w:after="80"/>
        <w:rPr/>
      </w:pPr>
      <w:r>
        <w:rPr>
          <w:rFonts w:eastAsia="Calibri" w:cs="Calibri"/>
          <w:sz w:val="21"/>
          <w:szCs w:val="21"/>
        </w:rPr>
        <w:t>Trusted, phased secure boot sequence: each stage's validity verified before the next stage is installed/initialised.</w:t>
      </w:r>
    </w:p>
    <w:p>
      <w:pPr>
        <w:pStyle w:val="ListParagraph"/>
        <w:numPr>
          <w:ilvl w:val="0"/>
          <w:numId w:val="1"/>
        </w:numPr>
        <w:spacing w:before="0" w:after="80"/>
        <w:rPr/>
      </w:pPr>
      <w:r>
        <w:rPr>
          <w:rFonts w:eastAsia="Calibri" w:cs="Calibri"/>
          <w:sz w:val="21"/>
          <w:szCs w:val="21"/>
        </w:rPr>
        <w:t>Firmware update procedure mandatory steps: (1) verify updating user's credentials/authorisation; (2) verify full integrity and authenticity of new firmware via digital signature against the manufacturer's certificate public key; (3) controlled deactivation of CCI functions during update; (4) log the update activity — the security data logger itself must never be erased by this procedure.</w:t>
      </w:r>
    </w:p>
    <w:p>
      <w:pPr>
        <w:pStyle w:val="Heading2"/>
        <w:spacing w:before="240" w:after="120"/>
        <w:rPr/>
      </w:pPr>
      <w:r>
        <w:rPr>
          <w:rFonts w:eastAsia="Calibri" w:cs="Calibri" w:ascii="Calibri" w:hAnsi="Calibri"/>
          <w:b/>
          <w:bCs/>
          <w:color w:val="1F6F54"/>
          <w:sz w:val="24"/>
          <w:szCs w:val="24"/>
        </w:rPr>
        <w:t>8.7 Security Event Logging (T.3.3.4.6)</w:t>
      </w:r>
    </w:p>
    <w:tbl>
      <w:tblPr>
        <w:tblW w:w="9360" w:type="dxa"/>
        <w:jc w:val="start"/>
        <w:tblInd w:w="0" w:type="dxa"/>
        <w:tblLayout w:type="fixed"/>
        <w:tblCellMar>
          <w:top w:w="60" w:type="dxa"/>
          <w:start w:w="100" w:type="dxa"/>
          <w:bottom w:w="60" w:type="dxa"/>
          <w:end w:w="100" w:type="dxa"/>
        </w:tblCellMar>
      </w:tblPr>
      <w:tblGrid>
        <w:gridCol w:w="3200"/>
        <w:gridCol w:w="6160"/>
      </w:tblGrid>
      <w:tr>
        <w:trPr>
          <w:tblHeader w:val="true"/>
        </w:trPr>
        <w:tc>
          <w:tcPr>
            <w:tcW w:w="3200"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Parameter</w:t>
            </w:r>
          </w:p>
        </w:tc>
        <w:tc>
          <w:tcPr>
            <w:tcW w:w="6160"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Requirement</w:t>
            </w:r>
          </w:p>
        </w:tc>
      </w:tr>
      <w:tr>
        <w:trPr/>
        <w:tc>
          <w:tcPr>
            <w:tcW w:w="32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Storage model</w:t>
            </w:r>
          </w:p>
        </w:tc>
        <w:tc>
          <w:tcPr>
            <w:tcW w:w="6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Sequential circular buffer (FIFO), not deletable/modifiable</w:t>
            </w:r>
          </w:p>
        </w:tc>
      </w:tr>
      <w:tr>
        <w:trPr/>
        <w:tc>
          <w:tcPr>
            <w:tcW w:w="32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Minimum stored events before overwrite</w:t>
            </w:r>
          </w:p>
        </w:tc>
        <w:tc>
          <w:tcPr>
            <w:tcW w:w="6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2048 events (per IEEE 1686:2013)</w:t>
            </w:r>
          </w:p>
        </w:tc>
      </w:tr>
      <w:tr>
        <w:trPr/>
        <w:tc>
          <w:tcPr>
            <w:tcW w:w="3200"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Remote transmission</w:t>
            </w:r>
          </w:p>
        </w:tc>
        <w:tc>
          <w:tcPr>
            <w:tcW w:w="6160"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Syslog, RFC 5424/5425, over TLS</w:t>
            </w:r>
          </w:p>
        </w:tc>
      </w:tr>
      <w:tr>
        <w:trPr/>
        <w:tc>
          <w:tcPr>
            <w:tcW w:w="3200"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SNMP alternative</w:t>
            </w:r>
          </w:p>
        </w:tc>
        <w:tc>
          <w:tcPr>
            <w:tcW w:w="6160"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SNMPv3 with TSM profile (RFC 5591) over TLS (RFC 6353); Syslog→SNMP mapping per RFC 5676</w:t>
            </w:r>
          </w:p>
        </w:tc>
      </w:tr>
      <w:tr>
        <w:trPr/>
        <w:tc>
          <w:tcPr>
            <w:tcW w:w="3200" w:type="dxa"/>
            <w:tcBorders>
              <w:top w:val="single" w:sz="4" w:space="0" w:color="CCCCCC"/>
              <w:start w:val="single" w:sz="4" w:space="0" w:color="AAAAAA"/>
              <w:bottom w:val="single" w:sz="4" w:space="0" w:color="AAAAAA"/>
              <w:end w:val="single" w:sz="4" w:space="0" w:color="CCCCCC"/>
            </w:tcBorders>
          </w:tcPr>
          <w:p>
            <w:pPr>
              <w:pStyle w:val="Normal"/>
              <w:rPr/>
            </w:pPr>
            <w:r>
              <w:rPr>
                <w:rFonts w:eastAsia="Calibri" w:cs="Calibri"/>
                <w:b w:val="false"/>
                <w:bCs w:val="false"/>
                <w:color w:val="000000"/>
                <w:sz w:val="20"/>
                <w:szCs w:val="20"/>
              </w:rPr>
              <w:t>Event severity categories</w:t>
            </w:r>
          </w:p>
        </w:tc>
        <w:tc>
          <w:tcPr>
            <w:tcW w:w="6160" w:type="dxa"/>
            <w:tcBorders>
              <w:top w:val="single" w:sz="4" w:space="0" w:color="CCCCCC"/>
              <w:start w:val="single" w:sz="4" w:space="0" w:color="CCCCCC"/>
              <w:bottom w:val="single" w:sz="4" w:space="0" w:color="AAAAAA"/>
              <w:end w:val="single" w:sz="4" w:space="0" w:color="AAAAAA"/>
            </w:tcBorders>
          </w:tcPr>
          <w:p>
            <w:pPr>
              <w:pStyle w:val="Normal"/>
              <w:rPr/>
            </w:pPr>
            <w:r>
              <w:rPr>
                <w:rFonts w:eastAsia="Calibri" w:cs="Calibri"/>
                <w:b w:val="false"/>
                <w:bCs w:val="false"/>
                <w:color w:val="000000"/>
                <w:sz w:val="20"/>
                <w:szCs w:val="20"/>
              </w:rPr>
              <w:t>alarm (unauthorised activity) / error / notice (authorised activity) / warning (abnormal but not necessarily malicious)</w:t>
            </w:r>
          </w:p>
        </w:tc>
      </w:tr>
    </w:tbl>
    <w:p>
      <w:pPr>
        <w:pStyle w:val="Normal"/>
        <w:spacing w:before="0" w:after="160"/>
        <w:rPr/>
      </w:pPr>
      <w:r>
        <w:rPr>
          <w:rFonts w:eastAsia="Calibri" w:cs="Calibri"/>
          <w:b w:val="false"/>
          <w:bCs w:val="false"/>
          <w:color w:val="000000"/>
          <w:sz w:val="21"/>
          <w:szCs w:val="21"/>
        </w:rPr>
        <w:t>Event categories logged (non-exhaustive; full mnemonic tables in Annex T §T.3.3.4.6.2): login/logout and authentication outcomes; user/role/permission management; file hash &amp; digital-signature check failures; software update outcome; TLS session and certificate-validation events (including expired/revoked/untrusted certificate, CRL/OCSP unavailable or expired); MMS association handshake failures (E2E SecPDU reject/abort with diagnostic code); certificate lifecycle events (enrolment, renewal, revocation, CertAVL); RBAC/access-token validation failures.</w:t>
      </w:r>
    </w:p>
    <w:p>
      <w:pPr>
        <w:pStyle w:val="Heading2"/>
        <w:spacing w:before="240" w:after="120"/>
        <w:rPr/>
      </w:pPr>
      <w:r>
        <w:rPr>
          <w:rFonts w:eastAsia="Calibri" w:cs="Calibri" w:ascii="Calibri" w:hAnsi="Calibri"/>
          <w:b/>
          <w:bCs/>
          <w:color w:val="1F6F54"/>
          <w:sz w:val="24"/>
          <w:szCs w:val="24"/>
        </w:rPr>
        <w:t>8.8 Traffic Segregation and Local Interface Security (T.3.3.4.10 / T.3.3.4.11)</w:t>
      </w:r>
    </w:p>
    <w:p>
      <w:pPr>
        <w:pStyle w:val="ListParagraph"/>
        <w:numPr>
          <w:ilvl w:val="0"/>
          <w:numId w:val="1"/>
        </w:numPr>
        <w:spacing w:before="0" w:after="80"/>
        <w:rPr/>
      </w:pPr>
      <w:r>
        <w:rPr>
          <w:rFonts w:eastAsia="Calibri" w:cs="Calibri"/>
          <w:sz w:val="21"/>
          <w:szCs w:val="21"/>
        </w:rPr>
        <w:t>Remote-access segregation via router devices supporting NAT, VLAN, firewalling and VPN with channel encryption; any public-network connectivity must use a secure VPN, reserved exclusively for plant control/operation communications.</w:t>
      </w:r>
    </w:p>
    <w:p>
      <w:pPr>
        <w:pStyle w:val="ListParagraph"/>
        <w:numPr>
          <w:ilvl w:val="0"/>
          <w:numId w:val="1"/>
        </w:numPr>
        <w:spacing w:before="0" w:after="80"/>
        <w:rPr/>
      </w:pPr>
      <w:r>
        <w:rPr>
          <w:rFonts w:eastAsia="Calibri" w:cs="Calibri"/>
          <w:sz w:val="21"/>
          <w:szCs w:val="21"/>
        </w:rPr>
        <w:t>All local (non-network) commissioning/configuration communication must be protected by a user-authentication system under specific security policies.</w:t>
      </w:r>
    </w:p>
    <w:p>
      <w:pPr>
        <w:pStyle w:val="ListParagraph"/>
        <w:numPr>
          <w:ilvl w:val="0"/>
          <w:numId w:val="1"/>
        </w:numPr>
        <w:spacing w:before="0" w:after="80"/>
        <w:rPr/>
      </w:pPr>
      <w:r>
        <w:rPr>
          <w:rFonts w:eastAsia="Calibri" w:cs="Calibri"/>
          <w:sz w:val="21"/>
          <w:szCs w:val="21"/>
        </w:rPr>
        <w:t>User (non-DSO/Aggregator) remote access: standard protocols with confidentiality/authenticity/integrity (SSH or HTTPS), cryptographic credentials, mutual authentication; a segregation-of-duty role system limits access to CCI function/parameter subsets.</w:t>
      </w:r>
    </w:p>
    <w:p>
      <w:pPr>
        <w:pStyle w:val="Normal"/>
        <w:spacing w:before="0" w:after="200"/>
        <w:rPr/>
      </w:pPr>
      <w:r>
        <w:rPr>
          <w:rFonts w:eastAsia="Calibri" w:cs="Calibri"/>
          <w:i/>
          <w:iCs/>
          <w:color w:val="666666"/>
          <w:sz w:val="18"/>
          <w:szCs w:val="18"/>
        </w:rPr>
        <w:t>Source (Annex T): T.3.3.4.1 – T.3.3.4.11 in full; Tables accompanying each subclause.</w:t>
      </w:r>
    </w:p>
    <w:p>
      <w:pPr>
        <w:pStyle w:val="Heading1"/>
        <w:spacing w:before="320" w:after="160"/>
        <w:rPr/>
      </w:pPr>
      <w:r>
        <w:rPr>
          <w:rFonts w:eastAsia="Calibri" w:cs="Calibri" w:ascii="Calibri" w:hAnsi="Calibri"/>
          <w:b/>
          <w:bCs/>
          <w:color w:val="1F6F54"/>
          <w:sz w:val="28"/>
          <w:szCs w:val="28"/>
        </w:rPr>
        <w:t>9. Cross-Check Against Annex O Open Items</w:t>
      </w:r>
    </w:p>
    <w:p>
      <w:pPr>
        <w:pStyle w:val="Normal"/>
        <w:spacing w:before="0" w:after="160"/>
        <w:rPr/>
      </w:pPr>
      <w:r>
        <w:rPr>
          <w:rFonts w:eastAsia="Calibri" w:cs="Calibri"/>
          <w:b w:val="false"/>
          <w:bCs w:val="false"/>
          <w:color w:val="000000"/>
          <w:sz w:val="21"/>
          <w:szCs w:val="21"/>
        </w:rPr>
        <w:t>This section maps each open item listed in §13 of the companion Annex O document to where it is now resolved.</w:t>
      </w:r>
    </w:p>
    <w:tbl>
      <w:tblPr>
        <w:tblW w:w="9360" w:type="dxa"/>
        <w:jc w:val="start"/>
        <w:tblInd w:w="0" w:type="dxa"/>
        <w:tblLayout w:type="fixed"/>
        <w:tblCellMar>
          <w:top w:w="60" w:type="dxa"/>
          <w:start w:w="100" w:type="dxa"/>
          <w:bottom w:w="60" w:type="dxa"/>
          <w:end w:w="100" w:type="dxa"/>
        </w:tblCellMar>
      </w:tblPr>
      <w:tblGrid>
        <w:gridCol w:w="4199"/>
        <w:gridCol w:w="5161"/>
      </w:tblGrid>
      <w:tr>
        <w:trPr>
          <w:tblHeader w:val="true"/>
        </w:trPr>
        <w:tc>
          <w:tcPr>
            <w:tcW w:w="4199" w:type="dxa"/>
            <w:tcBorders>
              <w:top w:val="single" w:sz="4" w:space="0" w:color="AAAAAA"/>
              <w:start w:val="single" w:sz="4" w:space="0" w:color="AAAAAA"/>
              <w:bottom w:val="single" w:sz="4" w:space="0" w:color="CCCCCC"/>
              <w:end w:val="single" w:sz="4" w:space="0" w:color="CCCCCC"/>
            </w:tcBorders>
            <w:shd w:fill="1F6F54" w:val="clear"/>
            <w:vAlign w:val="center"/>
          </w:tcPr>
          <w:p>
            <w:pPr>
              <w:pStyle w:val="Normal"/>
              <w:rPr/>
            </w:pPr>
            <w:r>
              <w:rPr>
                <w:rFonts w:eastAsia="Calibri" w:cs="Calibri"/>
                <w:b/>
                <w:bCs/>
                <w:color w:val="FFFFFF"/>
                <w:sz w:val="20"/>
                <w:szCs w:val="20"/>
              </w:rPr>
              <w:t>Annex O open item</w:t>
            </w:r>
          </w:p>
        </w:tc>
        <w:tc>
          <w:tcPr>
            <w:tcW w:w="5161" w:type="dxa"/>
            <w:tcBorders>
              <w:top w:val="single" w:sz="4" w:space="0" w:color="AAAAAA"/>
              <w:start w:val="single" w:sz="4" w:space="0" w:color="CCCCCC"/>
              <w:bottom w:val="single" w:sz="4" w:space="0" w:color="CCCCCC"/>
              <w:end w:val="single" w:sz="4" w:space="0" w:color="AAAAAA"/>
            </w:tcBorders>
            <w:shd w:fill="1F6F54" w:val="clear"/>
            <w:vAlign w:val="center"/>
          </w:tcPr>
          <w:p>
            <w:pPr>
              <w:pStyle w:val="Normal"/>
              <w:rPr/>
            </w:pPr>
            <w:r>
              <w:rPr>
                <w:rFonts w:eastAsia="Calibri" w:cs="Calibri"/>
                <w:b/>
                <w:bCs/>
                <w:color w:val="FFFFFF"/>
                <w:sz w:val="20"/>
                <w:szCs w:val="20"/>
              </w:rPr>
              <w:t>Resolved in this document</w:t>
            </w:r>
          </w:p>
        </w:tc>
      </w:tr>
      <w:tr>
        <w:trPr/>
        <w:tc>
          <w:tcPr>
            <w:tcW w:w="41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Complete IEC 61850 logical-node / data-model mapping for all measurements, signals and commands</w:t>
            </w:r>
          </w:p>
        </w:tc>
        <w:tc>
          <w:tcPr>
            <w:tcW w:w="51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§3 (measurements), §4 (nameplate vector), §5 (control functions), §6 (LN/LD structure)</w:t>
            </w:r>
          </w:p>
        </w:tc>
      </w:tr>
      <w:tr>
        <w:trPr/>
        <w:tc>
          <w:tcPr>
            <w:tcW w:w="4199" w:type="dxa"/>
            <w:tcBorders>
              <w:top w:val="single" w:sz="4" w:space="0" w:color="CCCCCC"/>
              <w:start w:val="single" w:sz="4" w:space="0" w:color="AAAAAA"/>
              <w:bottom w:val="single" w:sz="4" w:space="0" w:color="CCCCCC"/>
              <w:end w:val="single" w:sz="4" w:space="0" w:color="CCCCCC"/>
            </w:tcBorders>
            <w:shd w:fill="E8F3EF" w:val="clear"/>
          </w:tcPr>
          <w:p>
            <w:pPr>
              <w:pStyle w:val="Normal"/>
              <w:rPr/>
            </w:pPr>
            <w:r>
              <w:rPr>
                <w:rFonts w:eastAsia="Calibri" w:cs="Calibri"/>
                <w:b w:val="false"/>
                <w:bCs w:val="false"/>
                <w:color w:val="000000"/>
                <w:sz w:val="20"/>
                <w:szCs w:val="20"/>
              </w:rPr>
              <w:t>Full cybersecurity architecture: PKI, authentication, Asset Inventory API</w:t>
            </w:r>
          </w:p>
        </w:tc>
        <w:tc>
          <w:tcPr>
            <w:tcW w:w="5161" w:type="dxa"/>
            <w:tcBorders>
              <w:top w:val="single" w:sz="4" w:space="0" w:color="CCCCCC"/>
              <w:start w:val="single" w:sz="4" w:space="0" w:color="CCCCCC"/>
              <w:bottom w:val="single" w:sz="4" w:space="0" w:color="CCCCCC"/>
              <w:end w:val="single" w:sz="4" w:space="0" w:color="AAAAAA"/>
            </w:tcBorders>
            <w:shd w:fill="E8F3EF" w:val="clear"/>
          </w:tcPr>
          <w:p>
            <w:pPr>
              <w:pStyle w:val="Normal"/>
              <w:rPr/>
            </w:pPr>
            <w:r>
              <w:rPr>
                <w:rFonts w:eastAsia="Calibri" w:cs="Calibri"/>
                <w:b w:val="false"/>
                <w:bCs w:val="false"/>
                <w:color w:val="000000"/>
                <w:sz w:val="20"/>
                <w:szCs w:val="20"/>
              </w:rPr>
              <w:t>§8.5 (PKI/certificates), §7 (roles/ACSI), §8.7 (logging); Asset Inventory identified via LPHD.PhyNam (T.3.3.4.7)</w:t>
            </w:r>
          </w:p>
        </w:tc>
      </w:tr>
      <w:tr>
        <w:trPr/>
        <w:tc>
          <w:tcPr>
            <w:tcW w:w="4199" w:type="dxa"/>
            <w:tcBorders>
              <w:top w:val="single" w:sz="4" w:space="0" w:color="CCCCCC"/>
              <w:start w:val="single" w:sz="4" w:space="0" w:color="AAAAAA"/>
              <w:bottom w:val="single" w:sz="4" w:space="0" w:color="CCCCCC"/>
              <w:end w:val="single" w:sz="4" w:space="0" w:color="CCCCCC"/>
            </w:tcBorders>
          </w:tcPr>
          <w:p>
            <w:pPr>
              <w:pStyle w:val="Normal"/>
              <w:rPr/>
            </w:pPr>
            <w:r>
              <w:rPr>
                <w:rFonts w:eastAsia="Calibri" w:cs="Calibri"/>
                <w:b w:val="false"/>
                <w:bCs w:val="false"/>
                <w:color w:val="000000"/>
                <w:sz w:val="20"/>
                <w:szCs w:val="20"/>
              </w:rPr>
              <w:t>GOOSE/MMS specific timing performance classes beyond O.7.3</w:t>
            </w:r>
          </w:p>
        </w:tc>
        <w:tc>
          <w:tcPr>
            <w:tcW w:w="5161" w:type="dxa"/>
            <w:tcBorders>
              <w:top w:val="single" w:sz="4" w:space="0" w:color="CCCCCC"/>
              <w:start w:val="single" w:sz="4" w:space="0" w:color="CCCCCC"/>
              <w:bottom w:val="single" w:sz="4" w:space="0" w:color="CCCCCC"/>
              <w:end w:val="single" w:sz="4" w:space="0" w:color="AAAAAA"/>
            </w:tcBorders>
          </w:tcPr>
          <w:p>
            <w:pPr>
              <w:pStyle w:val="Normal"/>
              <w:rPr/>
            </w:pPr>
            <w:r>
              <w:rPr>
                <w:rFonts w:eastAsia="Calibri" w:cs="Calibri"/>
                <w:b w:val="false"/>
                <w:bCs w:val="false"/>
                <w:color w:val="000000"/>
                <w:sz w:val="20"/>
                <w:szCs w:val="20"/>
              </w:rPr>
              <w:t>§2 (Type 3 = ~500 ms; Type 1 for GOOSE subscribe)</w:t>
            </w:r>
          </w:p>
        </w:tc>
      </w:tr>
      <w:tr>
        <w:trPr/>
        <w:tc>
          <w:tcPr>
            <w:tcW w:w="4199" w:type="dxa"/>
            <w:tcBorders>
              <w:top w:val="single" w:sz="4" w:space="0" w:color="CCCCCC"/>
              <w:start w:val="single" w:sz="4" w:space="0" w:color="AAAAAA"/>
              <w:bottom w:val="single" w:sz="4" w:space="0" w:color="AAAAAA"/>
              <w:end w:val="single" w:sz="4" w:space="0" w:color="CCCCCC"/>
            </w:tcBorders>
            <w:shd w:fill="E8F3EF" w:val="clear"/>
          </w:tcPr>
          <w:p>
            <w:pPr>
              <w:pStyle w:val="Normal"/>
              <w:rPr/>
            </w:pPr>
            <w:r>
              <w:rPr>
                <w:rFonts w:eastAsia="Calibri" w:cs="Calibri"/>
                <w:b w:val="false"/>
                <w:bCs w:val="false"/>
                <w:color w:val="000000"/>
                <w:sz w:val="20"/>
                <w:szCs w:val="20"/>
              </w:rPr>
              <w:t>Detailed VPN/private-network requirements for Eth_A/Eth_B</w:t>
            </w:r>
          </w:p>
        </w:tc>
        <w:tc>
          <w:tcPr>
            <w:tcW w:w="5161" w:type="dxa"/>
            <w:tcBorders>
              <w:top w:val="single" w:sz="4" w:space="0" w:color="CCCCCC"/>
              <w:start w:val="single" w:sz="4" w:space="0" w:color="CCCCCC"/>
              <w:bottom w:val="single" w:sz="4" w:space="0" w:color="AAAAAA"/>
              <w:end w:val="single" w:sz="4" w:space="0" w:color="AAAAAA"/>
            </w:tcBorders>
            <w:shd w:fill="E8F3EF" w:val="clear"/>
          </w:tcPr>
          <w:p>
            <w:pPr>
              <w:pStyle w:val="Normal"/>
              <w:rPr/>
            </w:pPr>
            <w:r>
              <w:rPr>
                <w:rFonts w:eastAsia="Calibri" w:cs="Calibri"/>
                <w:b w:val="false"/>
                <w:bCs w:val="false"/>
                <w:color w:val="000000"/>
                <w:sz w:val="20"/>
                <w:szCs w:val="20"/>
              </w:rPr>
              <w:t>§8.8 (traffic segregation: NAT/VLAN/firewall/VPN with channel encryption)</w:t>
            </w:r>
          </w:p>
        </w:tc>
      </w:tr>
    </w:tbl>
    <w:p>
      <w:pPr>
        <w:pStyle w:val="Normal"/>
        <w:pBdr>
          <w:top w:val="single" w:sz="6" w:space="0" w:color="B03A2E"/>
          <w:left w:val="single" w:sz="6" w:space="0" w:color="B03A2E"/>
          <w:bottom w:val="single" w:sz="6" w:space="0" w:color="B03A2E"/>
          <w:right w:val="single" w:sz="6" w:space="0" w:color="B03A2E"/>
        </w:pBdr>
        <w:shd w:val="clear" w:fill="FBEAE8"/>
        <w:spacing w:before="120" w:after="240"/>
        <w:rPr/>
      </w:pPr>
      <w:r>
        <w:rPr>
          <w:rFonts w:eastAsia="Calibri" w:cs="Calibri"/>
          <w:b/>
          <w:bCs/>
          <w:color w:val="B03A2E"/>
          <w:sz w:val="20"/>
          <w:szCs w:val="20"/>
        </w:rPr>
        <w:t>Remaining gap: Annex T references a separate Technical Report "Example of SCL file for the IEC 61850 communication of CCI" for the concrete implementation of the CCI communication mode (§T.3.1). This SCL example has not been supplied and should be requested before finalising the IED configuration.</w:t>
      </w:r>
    </w:p>
    <w:p>
      <w:pPr>
        <w:pStyle w:val="Normal"/>
        <w:spacing w:before="0" w:after="100"/>
        <w:rPr/>
      </w:pPr>
      <w:r>
        <w:rPr/>
      </w:r>
    </w:p>
    <w:p>
      <w:pPr>
        <w:pStyle w:val="Normal"/>
        <w:spacing w:before="0" w:after="160"/>
        <w:rPr/>
      </w:pPr>
      <w:r>
        <w:rPr>
          <w:rFonts w:eastAsia="Calibri" w:cs="Calibri"/>
          <w:b w:val="false"/>
          <w:bCs w:val="false"/>
          <w:color w:val="666666"/>
          <w:sz w:val="19"/>
          <w:szCs w:val="19"/>
        </w:rPr>
        <w:t>Together with the Annex O companion document, this file constitutes the complete mandatory-requirements baseline extracted from CEI 0-16 for the CCI AiLux firmware, as of the source publication date (2024-12).</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sz w:val="16"/>
        <w:szCs w:val="16"/>
      </w:rPr>
      <w:t xml:space="preserve">Page </w:t>
    </w:r>
    <w:r>
      <w:rPr>
        <w:rFonts w:eastAsia="Calibri" w:cs="Calibri"/>
        <w:b w:val="false"/>
        <w:bCs w:val="false"/>
        <w:color w:val="666666"/>
        <w:sz w:val="19"/>
        <w:szCs w:val="19"/>
      </w:rPr>
      <w:fldChar w:fldCharType="begin"/>
    </w:r>
    <w:r>
      <w:rPr>
        <w:rFonts w:eastAsia="Calibri" w:cs="Calibri"/>
        <w:b w:val="false"/>
        <w:bCs w:val="false"/>
        <w:color w:val="666666"/>
        <w:sz w:val="19"/>
        <w:szCs w:val="19"/>
      </w:rPr>
      <w:instrText xml:space="preserve"> PAGE </w:instrText>
    </w:r>
    <w:r>
      <w:rPr>
        <w:rFonts w:eastAsia="Calibri" w:cs="Calibri"/>
        <w:b w:val="false"/>
        <w:bCs w:val="false"/>
        <w:color w:val="666666"/>
        <w:sz w:val="19"/>
        <w:szCs w:val="19"/>
      </w:rPr>
      <w:fldChar w:fldCharType="separate"/>
    </w:r>
    <w:r>
      <w:rPr>
        <w:rFonts w:eastAsia="Calibri" w:cs="Calibri"/>
        <w:b w:val="false"/>
        <w:bCs w:val="false"/>
        <w:color w:val="666666"/>
        <w:sz w:val="19"/>
        <w:szCs w:val="19"/>
      </w:rPr>
      <w:t>8</w:t>
    </w:r>
    <w:r>
      <w:rPr>
        <w:rFonts w:eastAsia="Calibri" w:cs="Calibri"/>
        <w:b w:val="false"/>
        <w:bCs w:val="false"/>
        <w:color w:val="666666"/>
        <w:sz w:val="19"/>
        <w:szCs w:val="19"/>
      </w:rPr>
      <w:fldChar w:fldCharType="end"/>
    </w:r>
    <w:r>
      <w:rPr>
        <w:rFonts w:eastAsia="Calibri" w:cs="Calibri"/>
        <w:sz w:val="16"/>
        <w:szCs w:val="16"/>
      </w:rPr>
      <w:t xml:space="preserve"> of </w:t>
    </w:r>
    <w:r>
      <w:rPr>
        <w:rFonts w:eastAsia="Calibri" w:cs="Calibri"/>
        <w:b w:val="false"/>
        <w:bCs w:val="false"/>
        <w:color w:val="666666"/>
        <w:sz w:val="19"/>
        <w:szCs w:val="19"/>
      </w:rPr>
      <w:fldChar w:fldCharType="begin"/>
    </w:r>
    <w:r>
      <w:rPr>
        <w:rFonts w:eastAsia="Calibri" w:cs="Calibri"/>
        <w:b w:val="false"/>
        <w:bCs w:val="false"/>
        <w:color w:val="666666"/>
        <w:sz w:val="19"/>
        <w:szCs w:val="19"/>
      </w:rPr>
      <w:instrText xml:space="preserve"> NUMPAGES </w:instrText>
    </w:r>
    <w:r>
      <w:rPr>
        <w:rFonts w:eastAsia="Calibri" w:cs="Calibri"/>
        <w:b w:val="false"/>
        <w:bCs w:val="false"/>
        <w:color w:val="666666"/>
        <w:sz w:val="19"/>
        <w:szCs w:val="19"/>
      </w:rPr>
      <w:fldChar w:fldCharType="separate"/>
    </w:r>
    <w:r>
      <w:rPr>
        <w:rFonts w:eastAsia="Calibri" w:cs="Calibri"/>
        <w:b w:val="false"/>
        <w:bCs w:val="false"/>
        <w:color w:val="666666"/>
        <w:sz w:val="19"/>
        <w:szCs w:val="19"/>
      </w:rPr>
      <w:t>8</w:t>
    </w:r>
    <w:r>
      <w:rPr>
        <w:rFonts w:eastAsia="Calibri" w:cs="Calibri"/>
        <w:b w:val="false"/>
        <w:bCs w:val="false"/>
        <w:color w:val="666666"/>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sz w:val="16"/>
        <w:szCs w:val="16"/>
      </w:rPr>
      <w:t xml:space="preserve">Page </w:t>
    </w:r>
    <w:r>
      <w:rPr>
        <w:rFonts w:eastAsia="Calibri" w:cs="Calibri"/>
        <w:b w:val="false"/>
        <w:bCs w:val="false"/>
        <w:color w:val="666666"/>
        <w:sz w:val="19"/>
        <w:szCs w:val="19"/>
      </w:rPr>
      <w:fldChar w:fldCharType="begin"/>
    </w:r>
    <w:r>
      <w:rPr>
        <w:rFonts w:eastAsia="Calibri" w:cs="Calibri"/>
        <w:b w:val="false"/>
        <w:bCs w:val="false"/>
        <w:color w:val="666666"/>
        <w:sz w:val="19"/>
        <w:szCs w:val="19"/>
      </w:rPr>
      <w:instrText xml:space="preserve"> PAGE </w:instrText>
    </w:r>
    <w:r>
      <w:rPr>
        <w:rFonts w:eastAsia="Calibri" w:cs="Calibri"/>
        <w:b w:val="false"/>
        <w:bCs w:val="false"/>
        <w:color w:val="666666"/>
        <w:sz w:val="19"/>
        <w:szCs w:val="19"/>
      </w:rPr>
      <w:fldChar w:fldCharType="separate"/>
    </w:r>
    <w:r>
      <w:rPr>
        <w:rFonts w:eastAsia="Calibri" w:cs="Calibri"/>
        <w:b w:val="false"/>
        <w:bCs w:val="false"/>
        <w:color w:val="666666"/>
        <w:sz w:val="19"/>
        <w:szCs w:val="19"/>
      </w:rPr>
      <w:t>8</w:t>
    </w:r>
    <w:r>
      <w:rPr>
        <w:rFonts w:eastAsia="Calibri" w:cs="Calibri"/>
        <w:b w:val="false"/>
        <w:bCs w:val="false"/>
        <w:color w:val="666666"/>
        <w:sz w:val="19"/>
        <w:szCs w:val="19"/>
      </w:rPr>
      <w:fldChar w:fldCharType="end"/>
    </w:r>
    <w:r>
      <w:rPr>
        <w:rFonts w:eastAsia="Calibri" w:cs="Calibri"/>
        <w:sz w:val="16"/>
        <w:szCs w:val="16"/>
      </w:rPr>
      <w:t xml:space="preserve"> of </w:t>
    </w:r>
    <w:r>
      <w:rPr>
        <w:rFonts w:eastAsia="Calibri" w:cs="Calibri"/>
        <w:b w:val="false"/>
        <w:bCs w:val="false"/>
        <w:color w:val="666666"/>
        <w:sz w:val="19"/>
        <w:szCs w:val="19"/>
      </w:rPr>
      <w:fldChar w:fldCharType="begin"/>
    </w:r>
    <w:r>
      <w:rPr>
        <w:rFonts w:eastAsia="Calibri" w:cs="Calibri"/>
        <w:b w:val="false"/>
        <w:bCs w:val="false"/>
        <w:color w:val="666666"/>
        <w:sz w:val="19"/>
        <w:szCs w:val="19"/>
      </w:rPr>
      <w:instrText xml:space="preserve"> NUMPAGES </w:instrText>
    </w:r>
    <w:r>
      <w:rPr>
        <w:rFonts w:eastAsia="Calibri" w:cs="Calibri"/>
        <w:b w:val="false"/>
        <w:bCs w:val="false"/>
        <w:color w:val="666666"/>
        <w:sz w:val="19"/>
        <w:szCs w:val="19"/>
      </w:rPr>
      <w:fldChar w:fldCharType="separate"/>
    </w:r>
    <w:r>
      <w:rPr>
        <w:rFonts w:eastAsia="Calibri" w:cs="Calibri"/>
        <w:b w:val="false"/>
        <w:bCs w:val="false"/>
        <w:color w:val="666666"/>
        <w:sz w:val="19"/>
        <w:szCs w:val="19"/>
      </w:rPr>
      <w:t>8</w:t>
    </w:r>
    <w:r>
      <w:rPr>
        <w:rFonts w:eastAsia="Calibri" w:cs="Calibri"/>
        <w:b w:val="false"/>
        <w:bCs w:val="false"/>
        <w:color w:val="666666"/>
        <w:sz w:val="19"/>
        <w:szCs w:val="19"/>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666666"/>
        <w:sz w:val="16"/>
        <w:szCs w:val="16"/>
      </w:rPr>
      <w:t>CCI – Cybersecurity, Data Model &amp; Communication Timing (from CEI 0-16 Annex 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color w:val="666666"/>
        <w:sz w:val="16"/>
        <w:szCs w:val="16"/>
      </w:rPr>
      <w:t>CCI – Cybersecurity, Data Model &amp; Communication Timing (from CEI 0-16 Annex 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1"/>
      <w:szCs w:val="21"/>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1"/>
      <w:szCs w:val="21"/>
      <w:lang w:val="it-IT"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1"/>
      <w:szCs w:val="21"/>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testazioneepidipagina">
    <w:name w:val="Intestazione e piè di pagina"/>
    <w:basedOn w:val="Normal"/>
    <w:qFormat/>
    <w:pPr/>
    <w:rPr/>
  </w:style>
  <w:style w:type="paragraph" w:styleId="Header">
    <w:name w:val="header"/>
    <w:basedOn w:val="Intestazioneepidipagina"/>
    <w:pPr/>
    <w:rPr/>
  </w:style>
  <w:style w:type="paragraph" w:styleId="Footer">
    <w:name w:val="footer"/>
    <w:basedOn w:val="Intestazioneepidipa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ages>2</Pages>
  <Words>2869</Words>
  <Characters>17091</Characters>
  <CharactersWithSpaces>19444</CharactersWithSpaces>
  <Paragraphs>554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2026-07-31T13:12:23Z</dcterms:created>
  <dc:creator>Un-named</dc:creator>
  <dc:description/>
  <dc:language>it-IT</dc:language>
  <cp:lastModifiedBy/>
  <dcterms:modified xsi:type="dcterms:W3CDTF">2026-07-31T15:18:52Z</dcterms:modified>
  <cp:revision>2</cp:revision>
  <dc:subject/>
  <dc:title/>
</cp:coreProperties>
</file>