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40"/>
        <w:rPr/>
      </w:pPr>
      <w:r>
        <w:rPr>
          <w:color w:val="1B5E4F"/>
        </w:rPr>
        <w:t>CCI (TG-500 / TG-524 / TG-525) — Hardware/Interface Protocol Reference</w:t>
      </w:r>
    </w:p>
    <w:p>
      <w:pPr>
        <w:pStyle w:val="Normal"/>
        <w:spacing w:before="0" w:after="60"/>
        <w:rPr/>
      </w:pPr>
      <w:r>
        <w:rPr>
          <w:i/>
          <w:iCs/>
          <w:color w:val="555555"/>
          <w:sz w:val="18"/>
          <w:szCs w:val="18"/>
        </w:rPr>
        <w:t>For each physical interface/component: (1) general communication protocols the hardware supports, per the TesPro datasheet, and (2) security requirements that apply — overwhelmingly IEC 62351 (each entry's heading names the specific part, e.g. “(62351-4)”), with one Annex O-only exception explicitly marked as such (USB local authentication). These are kept in separate columns — “supported by the vendor” and “mandated by a security requirement” are different kinds of claims. New protocols are added as extra lines within a row, not new columns.</w:t>
      </w:r>
    </w:p>
    <w:tbl>
      <w:tblPr>
        <w:tblW w:w="12100" w:type="dxa"/>
        <w:jc w:val="start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</w:tblPr>
      <w:tblGrid>
        <w:gridCol w:w="2100"/>
        <w:gridCol w:w="3399"/>
        <w:gridCol w:w="3801"/>
        <w:gridCol w:w="2800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5E4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Hardware / Interface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5651D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Vendor-Supported Communication Protocols (TG-500 datasheet)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5E4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Security Requirements (IEC 62351; Annex O where noted)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5E4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Source / Notes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Eth_A (RJ45/optical, DSO channel)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BF5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Network Protocols: TCP, UDP, HTTP, HTTPS, etc. [TG-500 datasheet]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Industrial Protocols: IEC 61850/MMS, Modbus TCP, OPC UA, PROFINET, EtherCAT [TG-500 datasheet, device-level]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 xml:space="preserve">IEC 60870-5-104 Slave/Reverse/Redundancy; IEC 61850 Server/Client/GOOSE; Modbus-TCP/IP Master/Slave; DNP3; S7-Comm; OPC-UA Client; C37.118 Client; IEC 62056-21 (DLMS/COSEM)  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Physical layer: 100BaseFX, optical, dual LC connector, 1310nm multimode fibre [Annex O O.13.1.1.1]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IEC 61850/MMS security (62351-4)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Native mode → e2eMmsAC context [62351-4 §5.2]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Secure MMS = TCP port 3782 [62351-4 §6.3]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E2E handshake + data-transfer auth (ClearToken1/2/3) [62351-4 §13]</w:t>
            </w:r>
          </w:p>
          <w:p>
            <w:pPr>
              <w:pStyle w:val="Normal"/>
              <w:spacing w:before="10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TLS 1.2 transport security (62351-3)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Mandatory (RFC 5246) [62351-3 §5.2]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Mutual X.509 authentication [62351-3 §5.6.3]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RSA ≥2048 mandatory; ECDSA secp256r1 optional [62351-3 §5.6.4.6–7]</w:t>
            </w:r>
          </w:p>
          <w:p>
            <w:pPr>
              <w:pStyle w:val="Normal"/>
              <w:spacing w:before="10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PKI / certificates (62351-9)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IDevID → LDevID onboarding (802.1AR) [62351-9 §5.8]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≥</w:t>
            </w:r>
            <w:r>
              <w:rPr>
                <w:sz w:val="16"/>
                <w:szCs w:val="16"/>
              </w:rPr>
              <w:t>5 CA trust anchors [62351-9 §7.3.6]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Separate TLS vs E2E certs [62351-4 Annex G.2]</w:t>
            </w:r>
          </w:p>
          <w:p>
            <w:pPr>
              <w:pStyle w:val="Normal"/>
              <w:spacing w:before="10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Security event logging (62351-14)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TLS + E2E/MMS events [62351-14 Annex B.1.1/B.1.2]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Syslog over TCP/6514 + TLS mandatory, UDP prohibited [62351-14 §6.5]</w:t>
            </w:r>
          </w:p>
          <w:p>
            <w:pPr>
              <w:pStyle w:val="Normal"/>
              <w:spacing w:before="10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Zone/conduit architecture (62443-3-2)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Access point AP-1; Zone Z1 (DSO, external high trust) ↔ Conduit C1 ↔ Zone Z0 (CCI core) [62443 Zones doc]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SL-T = 2 proposed for Z0, Z1, C1 [62443 Zones doc]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C1 controls: firewall; no plant routing; IEC 62351-4 target [62443 Zones doc]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rPr/>
            </w:pPr>
            <w:r>
              <w:rPr>
                <w:i/>
                <w:iCs/>
                <w:color w:val="555555"/>
                <w:sz w:val="15"/>
                <w:szCs w:val="15"/>
              </w:rPr>
              <w:t>Annex O O.13.1.1.1 (interface); 62351-1/3/4/9/14 (security); TG-500 datasheet (comm protocols)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Eth_B (RJ45, other operators / BSP channel)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6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Network Protocols: TCP, UDP, HTTP, HTTPS, etc. [TG-500 datasheet]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 xml:space="preserve">Same Ethernet protocol set as Eth_A available on this port 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Physical layer: 10BaseT/100BaseTX, auto-negotiation, auto MDI/MDIX [Annex O O.13.1.1.1]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TLS 1.2 transport security (62351-3), conditional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Applies IF this channel uses TCP/IP + TLS — NOT mandated by CEI specifically for this channel [Annex O]</w:t>
            </w:r>
          </w:p>
          <w:p>
            <w:pPr>
              <w:pStyle w:val="Normal"/>
              <w:spacing w:before="10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PKI / certificates (62351-9)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Same CA trust store as Eth_A, if TLS used here too [inferred, not directly cited]</w:t>
            </w:r>
          </w:p>
          <w:p>
            <w:pPr>
              <w:pStyle w:val="Normal"/>
              <w:spacing w:before="10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Zone/conduit architecture (62443-3-2)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Access point AP-2; Zone Z2 (Operator, external medium trust) ↔ Conduit C2 ↔ Zone Z0 (CCI core) [62443 Zones doc]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SL-T = 2 proposed for Z2, C2; controls: firewall, Eth_B only [62443 Zones doc]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rPr/>
            </w:pPr>
            <w:r>
              <w:rPr>
                <w:i/>
                <w:iCs/>
                <w:color w:val="555555"/>
                <w:sz w:val="15"/>
                <w:szCs w:val="15"/>
              </w:rPr>
              <w:t>Annex O O.13.1.1.1 — no protocol mandated by name; left to producer's choice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RS-485 × 2, RS-232 × 1 (plant-element serial)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BF5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Modbus RTU [TG-500 datasheet, field “Modbus”]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Meter Protocols: IEC1107, DLT645, DLMS [TG-500 datasheet]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Serial Port Protocols: Pass-through, TCP client/server, UDP, Modbus RTU gateway [TG-500 datasheet]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IEC 61158-15 Modbus-RTU; IEC 60870-5-101 (Balance and Unbalance); IEC 60870-5-103 [Ailux CCI manual]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Params: 1×RS232 + 2×RS485 (simultaneous); data bits 7/8; stop bits 1/2; parity None/Odd/Even; baud 300–230400 bps [TG-500 datasheet]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RS232 pinout (electrical/physical layer, EIA/TIA-232): terminals V/TX/RX/GND, DB9 2-RX/3-TX/5-GND [TG-500 datasheet]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RS485 pinout (electrical/physical layer, TIA/EIA-485-A): 2 independent buses — Bus 1: A1/B1/G; Bus 2: A2/B2/G [TG-500 datasheet; per-bus protocol assignment NOT specified in the 2-page datasheet — confirm against full TesPro manual whether both buses run the same protocol set or are assigned to different uses]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NOTE: RS-485/RS-232 themselves carry no protocol meaning — they are the physical/electrical layer only. The actual protocols riding on top (Modbus RTU, IEC 60870-5-101/-103, listed above) are what interpret the bytes.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IEC 62351-3 / -5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Applies to IEC 60870-5-101/104 and DNP3 traffic on this bus [Ailux CCI manual, part–protocol mapping]</w:t>
            </w:r>
          </w:p>
          <w:p>
            <w:pPr>
              <w:pStyle w:val="Normal"/>
              <w:spacing w:before="10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Zone/conduit architecture (62443-3-2)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Access point AP-3; Zone Z3 (Plant, lower field trust) ↔ Conduit C3 ↔ Zone Z0 (CCI core) [62443 Zones doc]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SL-T = 1 proposed for Z3/C3 (lower than DSO/operator conduits) [62443 Zones doc]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C3 controls: RS485 isolation; master-poll only; no forwarding [62443 Zones doc]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rPr/>
            </w:pPr>
            <w:r>
              <w:rPr>
                <w:i/>
                <w:iCs/>
                <w:color w:val="555555"/>
                <w:sz w:val="15"/>
                <w:szCs w:val="15"/>
              </w:rPr>
              <w:t>Annex O O.13.1.4 (interface, generic); TG-500 datasheet + Ailux CCI manual (comm protocols)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CAN bus × 2 (independent, no interference)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6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Bus standard: ISO 11898 [TG-500 datasheet]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Supported baud rate: 5 kbps – 1 Mbps; differential CANH/CANL 1.5–3.0V [TG-500 datasheet]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Operating modes: High-speed / Slope control / Standby low-power [TG-500 datasheet]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Networking capability: &gt;110 connected nodes [TG-500 datasheet]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Industrial Protocols list includes CAN [TG-500 datasheet, device-level]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rPr/>
            </w:pPr>
            <w:r>
              <w:rPr>
                <w:i/>
                <w:iCs/>
                <w:color w:val="999999"/>
                <w:sz w:val="16"/>
                <w:szCs w:val="16"/>
              </w:rPr>
              <w:t xml:space="preserve">— </w:t>
            </w:r>
            <w:r>
              <w:rPr>
                <w:i/>
                <w:iCs/>
                <w:color w:val="999999"/>
                <w:sz w:val="16"/>
                <w:szCs w:val="16"/>
              </w:rPr>
              <w:t>not yet determined (to be filled)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rPr/>
            </w:pPr>
            <w:r>
              <w:rPr>
                <w:i/>
                <w:iCs/>
                <w:color w:val="555555"/>
                <w:sz w:val="15"/>
                <w:szCs w:val="15"/>
              </w:rPr>
              <w:t>TG-500 datasheet; no IEC 62351 part identified yet for this bus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USB 3.0 (local config console + plant elements)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BF5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 xml:space="preserve">1× USB port for local Configuration/Maintenance Console; 2× USB ports for plant-element connections 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Local authentication (Annex O, NOT an IEC 62351 citation)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Technologies for recognising users required [Annex O O.13.1.1.2]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IP communication explicitly EXCLUDED on this port [Annex O O.13.1.1.2]</w:t>
            </w:r>
          </w:p>
          <w:p>
            <w:pPr>
              <w:pStyle w:val="Normal"/>
              <w:spacing w:before="10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PKI / credentials (62351-9, partial fit)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§5.8.1 proof-of-identity / proof-of-possession concept applies, though not written for local/serial ports specifically [62351-9]</w:t>
            </w:r>
          </w:p>
          <w:p>
            <w:pPr>
              <w:pStyle w:val="Normal"/>
              <w:spacing w:before="10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Zone/conduit architecture (62443-3-2)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Access point AP-4; Zone Z4 (Maintenance, temporary) ↔ Conduit C4 ↔ Zone Z0 (CCI core) [62443 Zones doc]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Separate zone per ZCR 3.4 (temporary devices kept apart from permanent IACS) [62443 Zones doc]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C4 controls: physical USB; RBAC; kept out of certification path where possible [62443 Zones doc]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rPr/>
            </w:pPr>
            <w:r>
              <w:rPr>
                <w:i/>
                <w:iCs/>
                <w:color w:val="555555"/>
                <w:sz w:val="15"/>
                <w:szCs w:val="15"/>
              </w:rPr>
              <w:t>Annex O O.13.1.1.2; no 62351 part directly cited for USB by Annex O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Wi-Fi 7 (BE5000, MT798X core)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6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Wi-Fi 7 high-speed wireless backhaul [TG-500 datasheet, overview]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Zone/conduit architecture (62443-3-2)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Access point AP-6; explicitly listed as “Disabled in product profile” / “N/A (lab)” [62443 Zones doc]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rPr/>
            </w:pPr>
            <w:r>
              <w:rPr>
                <w:i/>
                <w:iCs/>
                <w:color w:val="555555"/>
                <w:sz w:val="15"/>
                <w:szCs w:val="15"/>
              </w:rPr>
              <w:t>TG-500 datasheet; not an interface named in Annex O O.13.1.1.x / O.13.1.4; the 62443 zones document explicitly states Wi-Fi is disabled in the product profile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TPM 2.0 (built-in security chip)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BF5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rPr/>
            </w:pPr>
            <w:r>
              <w:rPr>
                <w:i/>
                <w:iCs/>
                <w:color w:val="999999"/>
                <w:sz w:val="16"/>
                <w:szCs w:val="16"/>
              </w:rPr>
              <w:t xml:space="preserve">— </w:t>
            </w:r>
            <w:r>
              <w:rPr>
                <w:i/>
                <w:iCs/>
                <w:color w:val="999999"/>
                <w:sz w:val="16"/>
                <w:szCs w:val="16"/>
              </w:rPr>
              <w:t>none listed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PKI / key management (62351-9)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Private key protected in TPM/secure store; PKCS#12 mandatory [62351-9 §5.7.3.2/§7.3.2]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RNG per ISO/IEC 18031; TPM/TRNG as OOB seed source [62351-9 §6.4]</w:t>
            </w:r>
          </w:p>
          <w:p>
            <w:pPr>
              <w:pStyle w:val="Normal"/>
              <w:spacing w:before="10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Certificates, dual profile (62351-4 Annex G)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Separate end-entity certs for TLS vs E2E, both TPM-backed [62351-4 Annex G.2]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Cert ≤8192 octets; RSA≥2048/EC≥256 [62351-4 Annex G.3–G.4]</w:t>
            </w:r>
          </w:p>
          <w:p>
            <w:pPr>
              <w:pStyle w:val="Normal"/>
              <w:spacing w:before="10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RBAC access tokens (62351-8)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Three token profiles: A = X.509 ID certificate + extension; B = X.509 attribute certificate; C = software token (no asymmetric crypto, Kerberos-like) [62351-8 §9.2]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IECUserRoles OID extension: id-IEC62351={1 2 840 10070}; access token OID = 1.2.840.10070.8.1 [62351-8 §9.3]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Mandatory token fields: serial number, subject/holder name, assigned role, issuer, timestamp, validity period, revision number [62351-8 §9.4.1]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RoleID: INTEGER(-32768..32767); positive values reserved for IEC 62351; negative values for private/other-standard usage (e.g. IEEE 1815) [62351-8 §9.4.4.1]</w:t>
            </w:r>
          </w:p>
          <w:p>
            <w:pPr>
              <w:pStyle w:val="Normal"/>
              <w:spacing w:before="10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RBAC mandatory algorithms (62351-8)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Hash: SHA-1 mandatory (backward compat only) + SHA-256 mandatory (preferred) [62351-8 §9.5.1.3]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Signature: RSA 1024-bit mandatory (backward compat) + RSA 2048-bit mandatory (preferred); ECDSA/ECGDSA optional, min. 192-bit (with SHA-1) or 256-bit (with SHA-256) [62351-8 §9.5.1.3]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NOTE: RSA-1024 being still “mandatory” (for backward compatibility) differs from 62351-3's stricter “1024 deprecated” rule — worth flagging as a cross-part inconsistency to confirm with the team</w:t>
            </w:r>
          </w:p>
          <w:p>
            <w:pPr>
              <w:pStyle w:val="Normal"/>
              <w:spacing w:before="10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RBAC session/message-based auth (62351-8)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Session-based: one-time auth via Diffie-Hellman key agreement; subsequent messages integrity-protected via HMAC-SHA256 using the shared secret [62351-8 §8.2, Figure 6]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Message-based: access token + digital signature applied to every single message individually; supports multi-source aggregation via a substation controller acting as data concentrator [62351-8 §8.3]</w:t>
            </w:r>
          </w:p>
          <w:p>
            <w:pPr>
              <w:pStyle w:val="Normal"/>
              <w:spacing w:before="10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RBAC verification &amp; PKI mapping (62351-8)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Subject must be authenticated (“secure” per 62351-5 definition) before an access token can be used [62351-8 §11.1.2]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Profile A is part of a PKI; Profile B is a PMI interconnected with a PKI; Profile C is Kerberos-like, a PKI may underlie the software-token repository [62351-8 §12.5]</w:t>
            </w:r>
          </w:p>
          <w:p>
            <w:pPr>
              <w:pStyle w:val="Normal"/>
              <w:spacing w:before="10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Security event logging (62351-14)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Full PKI event catalogue: enrolment, cert validation, revocation [62351-14 Annex B.1.6, Tables 33–37]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rPr/>
            </w:pPr>
            <w:r>
              <w:rPr>
                <w:i/>
                <w:iCs/>
                <w:color w:val="555555"/>
                <w:sz w:val="15"/>
                <w:szCs w:val="15"/>
              </w:rPr>
              <w:t>TG-500 datasheet (TPM2.0 confirmed, Trust Zone + Secure Boot also confirmed); Annex O O.13.7 / O.15.3 (FIPS 140-2 L3) — functional requirements only; 62351-8 content re-verified from a clean 53-page screenshot capture (not OCR)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GNSS/GPS receiver (GPS, GLONASS, BDS, Galileo, QZSS opt.)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6EC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rPr/>
            </w:pPr>
            <w:r>
              <w:rPr>
                <w:i/>
                <w:iCs/>
                <w:color w:val="999999"/>
                <w:sz w:val="16"/>
                <w:szCs w:val="16"/>
              </w:rPr>
              <w:t xml:space="preserve">— </w:t>
            </w:r>
            <w:r>
              <w:rPr>
                <w:i/>
                <w:iCs/>
                <w:color w:val="999999"/>
                <w:sz w:val="16"/>
                <w:szCs w:val="16"/>
              </w:rPr>
              <w:t>none listed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Time synchronization (62351-4, -9)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10-min UTC clock-skew tolerance for MMS auth; duplicate time → P-ABORT [62351-4 §11.2.3–4]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UTC format YYYYMMDDhhmmss,sssZ, no 'T' separator [62351-4 §13.1.2]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Clock sync mandatory for cert validity checks; PTP 1588v2.1 or NTS recommended [62351-9 §7.7 / Table 6 A-14]</w:t>
            </w:r>
          </w:p>
          <w:p>
            <w:pPr>
              <w:pStyle w:val="Normal"/>
              <w:spacing w:before="10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Security event logging (62351-14)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Optional timeQuality SD-ELEMENT when GNSS/NTP trust is uncertain [62351-14 §6.2.2 Table 6]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rPr/>
            </w:pPr>
            <w:r>
              <w:rPr>
                <w:i/>
                <w:iCs/>
                <w:color w:val="555555"/>
                <w:sz w:val="15"/>
                <w:szCs w:val="15"/>
              </w:rPr>
              <w:t>TG-500 datasheet; Annex O O.13.5 (UTC sync, ±100ms)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Cellular modem (TG-524: 4G / TG-525: 5G)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BF5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2G GSM/EDGE: bands B2/B3/5/8 [TG-500 datasheet]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3G WCDMA: B1/2/4/5/6/8/19 [TG-500 datasheet]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4G LTE-FDD: B1/2/3/4/5/7/8/12/13/18/19/20/25/26/28; LTE-TDD: B38/39/40/41 [TG-500 datasheet]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Cellular class: 4G Cat 1 / 4G Cat 4 (TG-524); 5G RedCap / 5G SA (TG-525) [TG-500 datasheet]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sz w:val="16"/>
                <w:szCs w:val="16"/>
              </w:rPr>
              <w:t>Dual SIM card slots [TG-500 datasheet]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Device-level: IEC 61850/MMS, Modbus TCP/RTU, OPC UA also listed as supported access protocols [TG-500 datasheet overview — not confirmed whether these ride specifically over cellular or only over Ethernet]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TLS 1.2 transport security (62351-3), conditional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Applies to whatever TCP/IP traffic rides over the cellular data link — same rules as Eth_A/B if this link carries CCI application data [inferred from 62351-3 general applicability]</w:t>
            </w:r>
          </w:p>
          <w:p>
            <w:pPr>
              <w:pStyle w:val="Normal"/>
              <w:spacing w:before="100" w:after="20"/>
              <w:rPr/>
            </w:pPr>
            <w:r>
              <w:rPr>
                <w:b/>
                <w:bCs/>
                <w:color w:val="1F7A5C"/>
                <w:sz w:val="17"/>
                <w:szCs w:val="17"/>
              </w:rPr>
              <w:t>Zone/conduit architecture (62443-3-2)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20"/>
              <w:rPr/>
            </w:pPr>
            <w:r>
              <w:rPr>
                <w:sz w:val="16"/>
                <w:szCs w:val="16"/>
              </w:rPr>
              <w:t>Access point AP-5; Zone Z5 (External backup WAN) ↔ Conduit C5 ↔ Zone Z0 (CCI core) [62443 Zones doc]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6"/>
                <w:szCs w:val="16"/>
              </w:rPr>
              <w:t>Kept separate per ZCR 3.6; C5 controls: IP/VPN, NO Layer-2 bridge to Eth_A, default deny [62443 Zones doc]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rPr/>
            </w:pPr>
            <w:r>
              <w:rPr>
                <w:i/>
                <w:iCs/>
                <w:color w:val="555555"/>
                <w:sz w:val="15"/>
                <w:szCs w:val="15"/>
              </w:rPr>
              <w:t>TG-500 datasheet; no CEI 0-16 clause specifically regulates the cellular link itself (confirmed by full-text search of Annex T)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100" w:after="80"/>
        <w:rPr/>
      </w:pPr>
      <w:r>
        <w:rPr>
          <w:b/>
          <w:bCs/>
          <w:color w:val="1B5E4F"/>
        </w:rPr>
        <w:t>System-Wide Functional, Performance &amp; Operational Requirements</w:t>
      </w:r>
    </w:p>
    <w:p>
      <w:pPr>
        <w:pStyle w:val="Normal"/>
        <w:spacing w:before="0" w:after="100"/>
        <w:rPr/>
      </w:pPr>
      <w:r>
        <w:rPr>
          <w:i/>
          <w:iCs/>
          <w:color w:val="555555"/>
          <w:sz w:val="18"/>
          <w:szCs w:val="18"/>
        </w:rPr>
        <w:t>These requirements apply to CCI as a whole rather than to one specific hardware interface, so they don't fit the per-interface table above. Same sourcing standard: every line is cited to its clause.</w:t>
      </w:r>
    </w:p>
    <w:tbl>
      <w:tblPr>
        <w:tblW w:w="9200" w:type="dxa"/>
        <w:jc w:val="start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</w:tblPr>
      <w:tblGrid>
        <w:gridCol w:w="2400"/>
        <w:gridCol w:w="6800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5E4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5E4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Requirement(s)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Timing &amp; control dynamics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Fast control ring settling times: TsP ≤ 60s (active power), TsQ ≤ 10s (reactive power) [Annex O O.7.3.1]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Slow control ring cycle time ΔT: adjustable 10s–600s [Annex O O.7.3.2]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External set-point updates: minimum 3s interval between accepted updates; faster updates rejected [Annex O O.7.3.3]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7"/>
                <w:szCs w:val="17"/>
              </w:rPr>
              <w:t>Measurement reference: fixed block interval method per IEC 61557-12; fast ring uses 200ms blocks (M_C200), slow ring uses ΔT blocks (M_CΔT); voltage/current sampled synchronously [Annex O O.7.4]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Measurement accuracy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Accuracy class per measurement converter, per IEC 61557-12 classes defined in O.13.2.1 [Annex O O.13.2]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7"/>
                <w:szCs w:val="17"/>
              </w:rPr>
              <w:t>Must satisfy Tables 5 and 6 accuracy requirements of TSO Grid Code Annex A.6 (or demonstrably congruent alternative) [Annex O O.13.2]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Power supply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CCI and associated communication equipment powered from an auxiliary voltage source; availability guaranteed by UPS or battery backup for at least 1 hour [Annex O O.13.3]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7"/>
                <w:szCs w:val="17"/>
              </w:rPr>
              <w:t>12–36V DC wide-range input [TG-500 datasheet]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Firmware/software update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Dedicated update procedure required, to correct errors/vulnerabilities [Annex O O.13.4]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Procedure shall: disable CCI functionality in a controlled manner during update; verify firmware digital signature/integrity via manufacturer certificate before applying [Annex O O.13.4]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7"/>
                <w:szCs w:val="17"/>
              </w:rPr>
              <w:t>Update activity (including version, and any failed updates) shall be recorded in the data logger; no step may delete existing log data [Annex O O.13.4]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Self-diagnostics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CCI shall detect and report malfunctions in itself or at its interconnection interfaces, including loss of communication [Annex O O.13.6]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7"/>
                <w:szCs w:val="17"/>
              </w:rPr>
              <w:t>On self-diagnostic detection of an out-of-service condition, an alarm shall be raised and recorded in the data logger with available diagnostic detail [Annex O O.13.6]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Asset inventory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7"/>
                <w:szCs w:val="17"/>
              </w:rPr>
              <w:t>CCI shall interface with an Asset Inventory infrastructure as indicated in Annex T [Annex O O.13.7.2]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Data logger (event storage)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Verifies and records: CCI power presence; comms to DSO/external operators/plant elements (physical+data link); CCI functionality; measurement device functionality [Annex O O.14]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Also stored: DG/DI switch status; power on/off + cause; firmware update (version) incl. failures; irregular network connect/disconnect; abnormal service-endpoint connections; anomalous traffic fingerprint (port/deep scanning); malformed messages/authenticity failures; failed AND successful authentications; system time changes; unsuccessful/successful key-credential modification; alarm/error log resets [Annex O O.14]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If bootloader lockout password used: failed + successful boot authentication also stored [Annex O O.14]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Also: control function start/stop/activation status; commands issued to plant elements + trigger event; DSO commands w/ parameters; other authorised operator commands; PG/PI protection tripping; teletripping (defence plan) tripping; over/under-frequency regulation tripping [Annex O O.14]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Minimum 2048 events, non-overwritable by user, timestamped (yyyy/mm/dd hh:mm:ss); exportable via manufacturer-supplied interface [Annex O O.14]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Access protected by username/password [Annex O O.14]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7"/>
                <w:szCs w:val="17"/>
              </w:rPr>
              <w:t>Remote reading via standard protocol — e.g. SIEM via syslog, per RFC 5424 [Annex O O.14]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Testing &amp; certification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Three test categories: functional (O.15.1), general conformity (O.15.2), cybersecurity (O.15.3) [Annex O O.15]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Functional tests verify: measurement accuracy/disturbance immunity/update intervals; IEC 61850 communication correctness (per Annex T); self-diagnostics; data logging; regulation/control output consistency in both autonomous and slaved mode; correct fallback to default function on timeout/comms loss [Annex O O.15.1]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General conformity per CEI EN 61557-12; reference temperature class no lower than K55; PMD-A qualification not required [Annex O O.15.2]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Hardware cybersecurity: minimum Level 3 tamper resistance, certified via FIPS 140-2 by an independent entity [Annex O O.15.3]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CE marking required; compliance attested via manufacturer self-certified Declaration of Conformity [Annex O O.15.4]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7"/>
                <w:szCs w:val="17"/>
              </w:rPr>
              <w:t>Operating temperature: -5°C to +45°C (Ailux CCI) / -40°C to +75°C (TG-500) — both meet the K55 minimum class [TG-500 datasheet]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Services (device-level)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 xml:space="preserve">http(s), sftp, ssh, SNMP v2/v3 trap 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 xml:space="preserve">ntpd; client-PTP or server-PTP (IEEE-1588, power profile) 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 xml:space="preserve">Redundancy cover system; firewall; RBAC-protected access 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 xml:space="preserve">IEC 61131-3 ladder logic tasks 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7"/>
                <w:szCs w:val="17"/>
              </w:rPr>
              <w:t xml:space="preserve">Web interface for diagnostics, log management, SCADA 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Digital I/O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 xml:space="preserve">5× optoisolated digital inputs, 10–120 Vdc, externally powered by field supply 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 xml:space="preserve">3× relay digital outputs, 250 Vac / 3A 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TG-500 variant: 2× DI, 2× DO (8-P socket) [TG-500 datasheet]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NOTE: DI/DO carries no communication protocol — it's a raw electrical on/off signal, read directly by CCI's own software (no framing, addressing, or handshake).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/>
            </w:pPr>
            <w:r>
              <w:rPr>
                <w:sz w:val="17"/>
                <w:szCs w:val="17"/>
              </w:rPr>
              <w:t>Governing requirements instead: switch/DG-DI status changes must be detected and reported within 4s of the event [Annex O O.8.6]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sz w:val="17"/>
                <w:szCs w:val="17"/>
              </w:rPr>
              <w:t>DG/DI switch status changes must be recorded in the data logger [Annex O O.14]</w:t>
            </w:r>
          </w:p>
        </w:tc>
      </w:tr>
    </w:tbl>
    <w:p>
      <w:pPr>
        <w:pStyle w:val="Normal"/>
        <w:pBdr>
          <w:left w:val="single" w:sz="12" w:space="4" w:color="E8721C"/>
        </w:pBdr>
        <w:shd w:val="clear" w:fill="FFF3D6"/>
        <w:spacing w:before="80" w:after="100"/>
        <w:rPr/>
      </w:pPr>
      <w:r>
        <w:rPr>
          <w:i/>
          <w:iCs/>
          <w:sz w:val="18"/>
          <w:szCs w:val="18"/>
        </w:rPr>
        <w:t>Source documents: TG-500 Series Technical Datasheet (TesPro, re-extracted directly from PDF for this update — confirms TG-524 = 4G variant, TG-525 = 5G variant of the same series); user-supplied IEC 62351 extracts (parts 1, 3, 4, 9, 14, +8 lower confidence); CEI 0-16 Annex O and Annex T (full text).</w:t>
      </w:r>
    </w:p>
    <w:p>
      <w:pPr>
        <w:pStyle w:val="Normal"/>
        <w:pBdr>
          <w:left w:val="single" w:sz="12" w:space="4" w:color="E8721C"/>
        </w:pBdr>
        <w:shd w:val="clear" w:fill="FFF3D6"/>
        <w:spacing w:before="80" w:after="100"/>
        <w:rPr/>
      </w:pPr>
      <w:r>
        <w:rPr>
          <w:i/>
          <w:iCs/>
          <w:sz w:val="18"/>
          <w:szCs w:val="18"/>
        </w:rPr>
        <w:t>The “Vendor-Supported Communication Protocols” column lists what the hardware CAN do per the manufacturer — it is NOT a security requirement and should not be read as one. The “IEC 62351 Security Requirement(s)” column is the only column reflecting mandatory/normative clauses.</w:t>
      </w:r>
    </w:p>
    <w:p>
      <w:pPr>
        <w:pStyle w:val="Normal"/>
        <w:pBdr>
          <w:left w:val="single" w:sz="12" w:space="4" w:color="E8721C"/>
        </w:pBdr>
        <w:shd w:val="clear" w:fill="FFF3D6"/>
        <w:spacing w:before="80" w:after="100"/>
        <w:rPr/>
      </w:pPr>
      <w:r>
        <w:rPr>
          <w:i/>
          <w:iCs/>
          <w:sz w:val="18"/>
          <w:szCs w:val="18"/>
        </w:rPr>
        <w:t>Device-level protocols (IEC 61850/MMS, Modbus TCP/RTU, OPC UA) are listed in the datasheet's overview without specifying which physical interface(s) carry them — attributed here to Eth_A/Eth_B (most likely, matching Annex O's IEC 61850 requirement) and flagged separately under the cellular row since the overview groups them near the connectivity description; this attribution should be confirmed against the full TesPro manual, not assumed.</w:t>
      </w:r>
    </w:p>
    <w:p>
      <w:pPr>
        <w:pStyle w:val="Normal"/>
        <w:pBdr>
          <w:left w:val="single" w:sz="12" w:space="4" w:color="E8721C"/>
        </w:pBdr>
        <w:shd w:val="clear" w:fill="FFF3D6"/>
        <w:spacing w:before="80" w:after="100"/>
        <w:rPr/>
      </w:pPr>
      <w:r>
        <w:rPr>
          <w:i/>
          <w:iCs/>
          <w:sz w:val="18"/>
          <w:szCs w:val="18"/>
        </w:rPr>
        <w:t>62351-8 (RBAC) content was re-extracted from a clean, 53-page screenshot capture of the real IEC TS 62351-8:2011(E) document (pages covering §4.2, §8.2–8.3, §9 access token definitions, §11 verification, §12.5 PKI mapping, Figure 3 and Figure 6) — this REPLACES the earlier “OCR-sourced, lower confidence” placeholder with directly-read, clause-cited content. One cross-part inconsistency was found and flagged: 62351-8 §9.5.1.3 keeps RSA-1024 as “mandatory (backward compatibility)” for access-token signatures, while 62351-3 §5.6.4.6–7 calls RSA-1024 “deprecated” for TLS certificates — worth confirming with the team which rule governs where these two overlap.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100" w:after="80"/>
        <w:rPr/>
      </w:pPr>
      <w:r>
        <w:rPr>
          <w:b/>
          <w:bCs/>
          <w:color w:val="1B5E4F"/>
        </w:rPr>
        <w:t>IEC 62443 — Zone/Conduit Architecture &amp; Component Security</w:t>
      </w:r>
    </w:p>
    <w:p>
      <w:pPr>
        <w:pStyle w:val="Normal"/>
        <w:spacing w:before="0" w:after="100"/>
        <w:rPr>
          <w:i/>
          <w:iCs/>
          <w:color w:val="555555"/>
          <w:sz w:val="18"/>
          <w:szCs w:val="18"/>
        </w:rPr>
      </w:pPr>
      <w:r>
        <w:rPr/>
      </w:r>
    </w:p>
    <w:p>
      <w:pPr>
        <w:pStyle w:val="Heading2"/>
        <w:spacing w:before="100" w:after="60"/>
        <w:rPr/>
      </w:pPr>
      <w:r>
        <w:rPr>
          <w:color w:val="1F7A5C"/>
        </w:rPr>
        <w:t>Zone table (SL-T = target security level)</w:t>
      </w:r>
    </w:p>
    <w:tbl>
      <w:tblPr>
        <w:tblW w:w="94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1200"/>
        <w:gridCol w:w="1799"/>
        <w:gridCol w:w="2800"/>
        <w:gridCol w:w="1401"/>
        <w:gridCol w:w="2200"/>
      </w:tblGrid>
      <w:tr>
        <w:trPr>
          <w:tblHeader w:val="true"/>
        </w:trPr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5E4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Zone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5E4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5E4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Assets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5E4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SL-T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5E4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Trust level</w:t>
            </w:r>
          </w:p>
        </w:tc>
      </w:tr>
      <w:tr>
        <w:trPr/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>Z0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CCI core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TG-524/TG-500, CCI firmware, TPM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SL 2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Highest internal trust</w:t>
            </w:r>
          </w:p>
        </w:tc>
      </w:tr>
      <w:tr>
        <w:trPr/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>Z1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DSO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DSO head-end, remote clients (via Eth_A)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SL 2 (conduit C1)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External, high trust</w:t>
            </w:r>
          </w:p>
        </w:tc>
      </w:tr>
      <w:tr>
        <w:trPr/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>Z2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Operator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Qualified operator SCADA (via Eth_B)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SL 2 (conduit C2)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External, medium trust</w:t>
            </w:r>
          </w:p>
        </w:tc>
      </w:tr>
      <w:tr>
        <w:trPr/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>Z3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Plant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Analyzers, inverters, RTU (via RS-485)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SL 1 (conduit C3)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Field, lower trust</w:t>
            </w:r>
          </w:p>
        </w:tc>
      </w:tr>
      <w:tr>
        <w:trPr/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>Z4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Maintenance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USB console laptop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Separate (ZCR 3.4)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Temporary access only</w:t>
            </w:r>
          </w:p>
        </w:tc>
      </w:tr>
      <w:tr>
        <w:trPr/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>Z5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Backup WAN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LTE modem path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Separate (ZCR 3.6)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External, no L2 bridge to Z1</w:t>
            </w:r>
          </w:p>
        </w:tc>
      </w:tr>
    </w:tbl>
    <w:p>
      <w:pPr>
        <w:pStyle w:val="Heading2"/>
        <w:spacing w:before="140" w:after="60"/>
        <w:rPr/>
      </w:pPr>
      <w:r>
        <w:rPr>
          <w:color w:val="1F7A5C"/>
        </w:rPr>
        <w:t>Conduit table</w:t>
      </w:r>
    </w:p>
    <w:tbl>
      <w:tblPr>
        <w:tblW w:w="94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1200"/>
        <w:gridCol w:w="1799"/>
        <w:gridCol w:w="2600"/>
        <w:gridCol w:w="3801"/>
      </w:tblGrid>
      <w:tr>
        <w:trPr>
          <w:tblHeader w:val="true"/>
        </w:trPr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5E4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Conduit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5E4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Path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5E4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Protocols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5E4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Controls</w:t>
            </w:r>
          </w:p>
        </w:tc>
      </w:tr>
      <w:tr>
        <w:trPr/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>C1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Z1 ↔ Z0 (Eth_A)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IEC 61850 MMS, GOOSE (62351-TLS target)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Firewall; no plant routing; IEC 62351-4 target</w:t>
            </w:r>
          </w:p>
        </w:tc>
      </w:tr>
      <w:tr>
        <w:trPr/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>C2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Z2 ↔ Z0 (Eth_B)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IEC 60870-5-104, 61850 client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Firewall; Eth_B only</w:t>
            </w:r>
          </w:p>
        </w:tc>
      </w:tr>
      <w:tr>
        <w:trPr/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>C3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Z3 ↔ Z0 (RS-485)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Modbus RTU/TCP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RS-485 isolation; master-poll only; no forwarding</w:t>
            </w:r>
          </w:p>
        </w:tc>
      </w:tr>
      <w:tr>
        <w:trPr/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>C4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Z4 ↔ Z0 (USB)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SSH/HTTP console (TBD)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AF3E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Physical USB; RBAC; kept out of cert path where possible</w:t>
            </w:r>
          </w:p>
        </w:tc>
      </w:tr>
      <w:tr>
        <w:trPr/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6"/>
                <w:szCs w:val="16"/>
              </w:rPr>
              <w:t>C5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Z5 ↔ Z0 (LTE/WAN)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IP/VPN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>NO Layer-2 bridge to Eth_A; default deny</w:t>
            </w:r>
          </w:p>
        </w:tc>
      </w:tr>
    </w:tbl>
    <w:p>
      <w:pPr>
        <w:pStyle w:val="Heading2"/>
        <w:spacing w:before="140" w:after="60"/>
        <w:rPr/>
      </w:pPr>
      <w:r>
        <w:rPr>
          <w:color w:val="1F7A5C"/>
        </w:rPr>
        <w:t>Component &amp; process requirements summary</w:t>
      </w:r>
    </w:p>
    <w:p>
      <w:pPr>
        <w:pStyle w:val="Normal"/>
        <w:pBdr>
          <w:left w:val="single" w:sz="12" w:space="4" w:color="E8721C"/>
        </w:pBdr>
        <w:shd w:val="clear" w:fill="FFF3D6"/>
        <w:spacing w:before="80" w:after="100"/>
        <w:rPr/>
      </w:pPr>
      <w:r>
        <w:rPr>
          <w:i/>
          <w:iCs/>
          <w:sz w:val="18"/>
          <w:szCs w:val="18"/>
        </w:rPr>
        <w:t>62443-3-3 (System security requirements, SL-C): 7 Foundational Requirements — FR1 Identification &amp; Authentication Control (incl. SR1.8 PKI certificates), FR2 Use Control, FR3 System Integrity, FR4 Data Confidentiality, FR5 Restricted Data Flow, FR6 Timely Response to Events, FR7 Resource Availability. Target: SL-C 2 for Z0 (CCI core), matching the SL-T 2 proposed at the zone level.</w:t>
      </w:r>
    </w:p>
    <w:p>
      <w:pPr>
        <w:pStyle w:val="Normal"/>
        <w:pBdr>
          <w:left w:val="single" w:sz="12" w:space="4" w:color="E8721C"/>
        </w:pBdr>
        <w:shd w:val="clear" w:fill="FFF3D6"/>
        <w:spacing w:before="80" w:after="100"/>
        <w:rPr/>
      </w:pPr>
      <w:r>
        <w:rPr>
          <w:i/>
          <w:iCs/>
          <w:sz w:val="18"/>
          <w:szCs w:val="18"/>
        </w:rPr>
        <w:t>62443-4-1 (Secure Development Lifecycle, process/audit basis): 8 Practices — Security Management (SM), Specification of Security Requirements (SR), Secure by Design (SD), Secure Implementation (SI), Security Verification &amp; Validation Testing (SVV), Management of Security-Related Issues (DM), Security Update Management (SUM), Security Guidelines (SG). Applies to HiTEKS/TesPro as product supplier, not the DSO/integrator. Target maturity: ML 2–3 for first certification pass.</w:t>
      </w:r>
    </w:p>
    <w:p>
      <w:pPr>
        <w:pStyle w:val="Normal"/>
        <w:pBdr>
          <w:left w:val="single" w:sz="12" w:space="4" w:color="E8721C"/>
        </w:pBdr>
        <w:shd w:val="clear" w:fill="FFF3D6"/>
        <w:spacing w:before="80" w:after="100"/>
        <w:rPr/>
      </w:pPr>
      <w:r>
        <w:rPr>
          <w:i/>
          <w:iCs/>
          <w:sz w:val="18"/>
          <w:szCs w:val="18"/>
        </w:rPr>
        <w:t>62443-4-2 (Component technical requirements, CR/RE): TG-524/TG-500 CCI is primarily an Embedded Device (EDR, §13) + Software Application (SAR, §12), with partial Network Device requirements (NDR, §15) for the firewall/LTE zone boundary. Adds CR1.14 (symmetric key mgmt), CR2.13 (physical diagnostics), CR3.10–14 (secure updates, tamper protection, root of trust, secure boot) — the last three connect directly to the TPM 2.0 / secure boot work in the hardware table above.</w:t>
      </w:r>
    </w:p>
    <w:p>
      <w:pPr>
        <w:pStyle w:val="Normal"/>
        <w:pBdr>
          <w:left w:val="single" w:sz="12" w:space="4" w:color="E8721C"/>
        </w:pBdr>
        <w:shd w:val="clear" w:fill="FFF3D6"/>
        <w:spacing w:before="80" w:after="100"/>
        <w:rPr/>
      </w:pPr>
      <w:r>
        <w:rPr>
          <w:i/>
          <w:iCs/>
          <w:sz w:val="18"/>
          <w:szCs w:val="18"/>
        </w:rPr>
        <w:t>Explicit vendor conformance claim: “Conforme a quanto previsto da IEC-62443-4-1/2”.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100" w:after="80"/>
        <w:rPr/>
      </w:pPr>
      <w:r>
        <w:rPr>
          <w:b/>
          <w:bCs/>
          <w:color w:val="1B5E4F"/>
        </w:rPr>
        <w:t>Notes</w:t>
      </w:r>
    </w:p>
    <w:p>
      <w:pPr>
        <w:pStyle w:val="Normal"/>
        <w:pBdr>
          <w:left w:val="single" w:sz="12" w:space="4" w:color="E8721C"/>
        </w:pBdr>
        <w:shd w:val="clear" w:fill="FFF3D6"/>
        <w:spacing w:before="80" w:after="100"/>
        <w:rPr/>
      </w:pPr>
      <w:r>
        <w:rPr>
          <w:i/>
          <w:iCs/>
          <w:sz w:val="18"/>
          <w:szCs w:val="18"/>
        </w:rPr>
        <w:t>IEC 62443 is now integrated (Zones, 3-3, 4-1, 4-2) — both as the dedicated architecture section above and as “Zone/conduit architecture” entries cross-referenced into each relevant hardware row in the main table (Eth_A→Z1/C1, Eth_B→Z2/C2, RS-485→Z3/C3, USB→Z4/C4, LTE→Z5/C5, Wi-Fi→disabled). Source material for 62443 is marked in the original documents as partial captures (screenshot-based, some sections still gaps) — treat as a solid working map, not a fully verified word-for-word citation the way the 62351-8 re-extraction was.</w:t>
      </w:r>
    </w:p>
    <w:sectPr>
      <w:type w:val="nextPage"/>
      <w:pgSz w:w="15840" w:h="12240"/>
      <w:pgMar w:left="450" w:right="450" w:gutter="0" w:header="0" w:top="450" w:footer="0" w:bottom="4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it-IT" w:eastAsia="zh-CN" w:bidi="hi-IN"/>
    </w:rPr>
  </w:style>
  <w:style w:type="paragraph" w:styleId="Heading1">
    <w:name w:val="heading 1"/>
    <w:basedOn w:val="Titolo"/>
    <w:qFormat/>
    <w:pPr/>
    <w:rPr>
      <w:color w:val="2E74B5"/>
      <w:sz w:val="32"/>
      <w:szCs w:val="32"/>
    </w:rPr>
  </w:style>
  <w:style w:type="paragraph" w:styleId="Heading2">
    <w:name w:val="heading 2"/>
    <w:basedOn w:val="Titolo"/>
    <w:qFormat/>
    <w:pPr/>
    <w:rPr>
      <w:color w:val="2E74B5"/>
      <w:sz w:val="26"/>
      <w:szCs w:val="26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8</Pages>
  <Words>3056</Words>
  <Characters>18144</Characters>
  <CharactersWithSpaces>20852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2026-09-14T09:35:42Z</dcterms:created>
  <dc:creator>Un-named</dc:creator>
  <dc:description/>
  <dc:language>it-IT</dc:language>
  <cp:lastModifiedBy/>
  <dcterms:modified xsi:type="dcterms:W3CDTF">2026-09-14T11:41:43Z</dcterms:modified>
  <cp:revision>2</cp:revision>
  <dc:subject/>
  <dc:title/>
</cp:coreProperties>
</file>