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200"/>
        <w:rPr/>
      </w:pPr>
      <w:r>
        <w:rPr>
          <w:b/>
          <w:bCs/>
          <w:color w:val="1F6F54"/>
          <w:sz w:val="44"/>
          <w:szCs w:val="44"/>
        </w:rPr>
        <w:t>AiLux CCI – Controllore Centrale di Impianto</w:t>
      </w:r>
    </w:p>
    <w:p>
      <w:pPr>
        <w:pStyle w:val="Normal"/>
        <w:spacing w:before="0" w:after="400"/>
        <w:rPr/>
      </w:pPr>
      <w:r>
        <w:rPr>
          <w:color w:val="666666"/>
          <w:sz w:val="30"/>
          <w:szCs w:val="30"/>
        </w:rPr>
        <w:t>Mandatory Measurements, Timing Requirements and Technical Parameters</w:t>
      </w:r>
    </w:p>
    <w:p>
      <w:pPr>
        <w:pStyle w:val="Normal"/>
        <w:spacing w:before="0" w:after="100"/>
        <w:rPr/>
      </w:pPr>
      <w:r>
        <w:rPr>
          <w:i/>
          <w:iCs/>
          <w:sz w:val="22"/>
          <w:szCs w:val="22"/>
        </w:rPr>
        <w:t>Extracted and consolidated from CEI 0-16:2022-03, Annex O ("DER Plant Controller")</w:t>
      </w:r>
    </w:p>
    <w:p>
      <w:pPr>
        <w:pStyle w:val="Normal"/>
        <w:spacing w:before="0" w:after="100"/>
        <w:rPr/>
      </w:pPr>
      <w:r>
        <w:rPr>
          <w:color w:val="666666"/>
          <w:sz w:val="20"/>
          <w:szCs w:val="20"/>
        </w:rPr>
        <w:t>Source document: Estratto CEI 0-16 – Allegato O (English translation, CT 316), publication date 2024-12</w:t>
      </w:r>
    </w:p>
    <w:p>
      <w:pPr>
        <w:pStyle w:val="Normal"/>
        <w:spacing w:before="0" w:after="800"/>
        <w:rPr/>
      </w:pPr>
      <w:r>
        <w:rPr>
          <w:b/>
          <w:bCs/>
          <w:color w:val="B03A2E"/>
          <w:sz w:val="20"/>
          <w:szCs w:val="20"/>
        </w:rPr>
        <w:t>Status: PARTIAL — based on Annex O only. Annex T ("Cybersecurity requirements for communication"), which defines the full IEC 61850 data model, GOOSE/MMS timing and detailed cybersecurity parameters, has not yet been incorporated and will be added in a follow-up revision once available.</w:t>
      </w:r>
    </w:p>
    <w:p>
      <w:pPr>
        <w:pStyle w:val="Normal"/>
        <w:spacing w:before="0" w:after="0"/>
        <w:rPr>
          <w:sz w:val="20"/>
          <w:szCs w:val="20"/>
        </w:rPr>
        <w:sectPr>
          <w:type w:val="nextPage"/>
          <w:pgSz w:w="11906" w:h="16838"/>
          <w:pgMar w:left="1080" w:right="1080" w:gutter="0" w:header="0" w:top="1080" w:footer="0" w:bottom="108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Heading1"/>
        <w:pBdr>
          <w:bottom w:val="single" w:sz="8" w:space="4" w:color="1F6F54"/>
        </w:pBdr>
        <w:spacing w:before="360" w:after="160"/>
        <w:rPr/>
      </w:pPr>
      <w:r>
        <w:rPr>
          <w:b/>
          <w:bCs/>
          <w:color w:val="1F6F54"/>
          <w:sz w:val="28"/>
          <w:szCs w:val="28"/>
        </w:rPr>
        <w:t>1. Purpose and Scope of This Document</w:t>
      </w:r>
    </w:p>
    <w:p>
      <w:pPr>
        <w:pStyle w:val="Normal"/>
        <w:spacing w:before="0" w:after="120"/>
        <w:rPr/>
      </w:pPr>
      <w:r>
        <w:rPr/>
        <w:t>This document consolidates every mandatory numerical requirement stated in Annex O of CEI 0-16:2022-03 ("DER Plant Controller" / CCI) that the CCI AiLux firmware and hardware must respect: control-loop timing, measurement periodicity, measurement accuracy classes, control-function parameters/thresholds, communication interface specifications, data-logging minimums, and certification requirements.</w:t>
      </w:r>
    </w:p>
    <w:p>
      <w:pPr>
        <w:pStyle w:val="Normal"/>
        <w:spacing w:before="0" w:after="120"/>
        <w:rPr/>
      </w:pPr>
      <w:r>
        <w:rPr/>
        <w:t>Values are grouped by functional performance category as defined by Annex O: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PF1 — Mandatory: monitoring and data-exchange functions (always required).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PF2 — Optional: voltage control and active power limitation at the POC (required in the manner/timeframe set by ARERA; already implemented as real functions in the CCI AiLux product).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PF3 — Discretionary: plant management and Dispatching Services Market (MSD) participation.</w:t>
      </w:r>
    </w:p>
    <w:p>
      <w:pPr>
        <w:pStyle w:val="Normal"/>
        <w:spacing w:before="0" w:after="120"/>
        <w:rPr/>
      </w:pPr>
      <w:r>
        <w:rPr/>
        <w:t>Unless noted otherwise, every timing/accuracy value below is a hard normative requirement ("shall"), not a design suggestion.</w:t>
      </w:r>
    </w:p>
    <w:p>
      <w:pPr>
        <w:pStyle w:val="Heading1"/>
        <w:pBdr>
          <w:bottom w:val="single" w:sz="8" w:space="4" w:color="1F6F54"/>
        </w:pBdr>
        <w:spacing w:before="360" w:after="160"/>
        <w:rPr/>
      </w:pPr>
      <w:r>
        <w:rPr>
          <w:b/>
          <w:bCs/>
          <w:color w:val="1F6F54"/>
          <w:sz w:val="28"/>
          <w:szCs w:val="28"/>
        </w:rPr>
        <w:t>2. Applicability Thresholds (Annex O, Clause O.2)</w:t>
      </w:r>
    </w:p>
    <w:tbl>
      <w:tblPr>
        <w:tblW w:w="10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7199"/>
        <w:gridCol w:w="3201"/>
      </w:tblGrid>
      <w:tr>
        <w:trPr>
          <w:tblHeader w:val="true"/>
        </w:trPr>
        <w:tc>
          <w:tcPr>
            <w:tcW w:w="7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Value / Condition</w:t>
            </w:r>
          </w:p>
        </w:tc>
      </w:tr>
      <w:tr>
        <w:trPr/>
        <w:tc>
          <w:tcPr>
            <w:tcW w:w="7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Minimum total rated power for mandatory CCI (new connections, "standard perimeter")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≥ </w:t>
            </w:r>
            <w:r>
              <w:rPr>
                <w:b w:val="false"/>
                <w:bCs w:val="false"/>
                <w:sz w:val="20"/>
                <w:szCs w:val="20"/>
              </w:rPr>
              <w:t>1000 kW (sum of production + storage units)</w:t>
            </w:r>
          </w:p>
        </w:tc>
      </w:tr>
      <w:tr>
        <w:trPr/>
        <w:tc>
          <w:tcPr>
            <w:tcW w:w="7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Plants participating in dispatching services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CCI required regardless of total power</w:t>
            </w:r>
          </w:p>
        </w:tc>
      </w:tr>
      <w:tr>
        <w:trPr/>
        <w:tc>
          <w:tcPr>
            <w:tcW w:w="7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Plants &lt; 1 MW ("extended perimeter") / retrofits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Conditions to be established by ARERA (not yet fixed)</w:t>
            </w:r>
          </w:p>
        </w:tc>
      </w:tr>
    </w:tbl>
    <w:p>
      <w:pPr>
        <w:pStyle w:val="Normal"/>
        <w:spacing w:before="0" w:after="160"/>
        <w:rPr/>
      </w:pPr>
      <w:r>
        <w:rPr>
          <w:i/>
          <w:iCs/>
          <w:color w:val="666666"/>
          <w:sz w:val="18"/>
          <w:szCs w:val="18"/>
        </w:rPr>
        <w:t>Source (Annex O): O.2 "Scope".</w:t>
      </w:r>
    </w:p>
    <w:p>
      <w:pPr>
        <w:pStyle w:val="Heading1"/>
        <w:pBdr>
          <w:bottom w:val="single" w:sz="8" w:space="4" w:color="1F6F54"/>
        </w:pBdr>
        <w:spacing w:before="360" w:after="160"/>
        <w:rPr/>
      </w:pPr>
      <w:r>
        <w:rPr>
          <w:b/>
          <w:bCs/>
          <w:color w:val="1F6F54"/>
          <w:sz w:val="28"/>
          <w:szCs w:val="28"/>
        </w:rPr>
        <w:t>3. Control-Loop Timing Requirements</w:t>
      </w:r>
    </w:p>
    <w:p>
      <w:pPr>
        <w:pStyle w:val="Normal"/>
        <w:spacing w:before="0" w:after="120"/>
        <w:rPr/>
      </w:pPr>
      <w:r>
        <w:rPr/>
        <w:t>CCI implements two nested control rings: the fast ("plant control") ring and the slow ("control curve analysis") ring. Both have normatively fixed timing.</w:t>
      </w:r>
    </w:p>
    <w:p>
      <w:pPr>
        <w:pStyle w:val="Heading2"/>
        <w:spacing w:before="260" w:after="120"/>
        <w:rPr/>
      </w:pPr>
      <w:r>
        <w:rPr>
          <w:b/>
          <w:bCs/>
          <w:color w:val="1F6F54"/>
          <w:sz w:val="24"/>
          <w:szCs w:val="24"/>
        </w:rPr>
        <w:t>3.1 Fast Control Ring (Plant Control Ring)</w:t>
      </w:r>
    </w:p>
    <w:tbl>
      <w:tblPr>
        <w:tblW w:w="10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199"/>
        <w:gridCol w:w="6201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Max settling time, active power (TsP)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60 s, for any size of internal active-power set-point change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Max settling time, reactive power (TsQ)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10 s, for any size of internal reactive-power set-point change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Settling-time definition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 from instant of new set-point application to the instant the controlled quantity at POC (V, P, Q, etc.) stably enters a tolerance band of ±5% of the expected value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Measurement basis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MC200 — 200 ms fixed block interval measurements per IEC 61557-12 Annex B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Faster-than-required performance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Permitted (CCI may reach the expected value faster than the stated maxima)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MSD secondary power control (if participating)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Settling time must additionally allow the plant to follow the gradient prescribed by the TSO Grid Code</w:t>
            </w:r>
          </w:p>
        </w:tc>
      </w:tr>
    </w:tbl>
    <w:p>
      <w:pPr>
        <w:pStyle w:val="Normal"/>
        <w:spacing w:before="0" w:after="160"/>
        <w:rPr/>
      </w:pPr>
      <w:r>
        <w:rPr>
          <w:i/>
          <w:iCs/>
          <w:color w:val="666666"/>
          <w:sz w:val="18"/>
          <w:szCs w:val="18"/>
        </w:rPr>
        <w:t>Source (Annex O): O.7.3.1 "Dynamics of the fast control ring"; O.7.4.</w:t>
      </w:r>
    </w:p>
    <w:p>
      <w:pPr>
        <w:pStyle w:val="Heading2"/>
        <w:spacing w:before="260" w:after="120"/>
        <w:rPr/>
      </w:pPr>
      <w:r>
        <w:rPr>
          <w:b/>
          <w:bCs/>
          <w:color w:val="1F6F54"/>
          <w:sz w:val="24"/>
          <w:szCs w:val="24"/>
        </w:rPr>
        <w:t>3.2 Slow Control Ring (Control Curve Analysis Ring)</w:t>
      </w:r>
    </w:p>
    <w:tbl>
      <w:tblPr>
        <w:tblW w:w="10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199"/>
        <w:gridCol w:w="6201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Cycle time ΔT — adjustable range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10 s to 600 s (settable operating parameter)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Cycle time ΔT — default value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60 s, unless otherwise set by DSO in the "Operating Rule"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Reaction to external command changing control function/parameters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New parameters and control curves must be acquired and processed within ΔT of command reception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Minimum interval between change commands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Commands arriving at intervals shorter than ΔT are rejected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Measurement basis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MCΔT — measurements aggregated over the ΔT interval, per IEC 61557-12 Annex B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Voltage/current sampling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Voltage and current samples must be synchronous</w:t>
            </w:r>
          </w:p>
        </w:tc>
      </w:tr>
    </w:tbl>
    <w:p>
      <w:pPr>
        <w:pStyle w:val="Normal"/>
        <w:spacing w:before="0" w:after="160"/>
        <w:rPr/>
      </w:pPr>
      <w:r>
        <w:rPr>
          <w:i/>
          <w:iCs/>
          <w:color w:val="666666"/>
          <w:sz w:val="18"/>
          <w:szCs w:val="18"/>
        </w:rPr>
        <w:t>Source (Annex O): O.7.3.2 "Dynamics of the slow control ring"; O.7.4.</w:t>
      </w:r>
    </w:p>
    <w:p>
      <w:pPr>
        <w:pStyle w:val="Heading2"/>
        <w:spacing w:before="260" w:after="120"/>
        <w:rPr/>
      </w:pPr>
      <w:r>
        <w:rPr>
          <w:b/>
          <w:bCs/>
          <w:color w:val="1F6F54"/>
          <w:sz w:val="24"/>
          <w:szCs w:val="24"/>
        </w:rPr>
        <w:t>3.3 External Set-Point Command Dynamics</w:t>
      </w:r>
    </w:p>
    <w:tbl>
      <w:tblPr>
        <w:tblW w:w="10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6500"/>
        <w:gridCol w:w="3900"/>
      </w:tblGrid>
      <w:tr>
        <w:trPr>
          <w:tblHeader w:val="true"/>
        </w:trPr>
        <w:tc>
          <w:tcPr>
            <w:tcW w:w="6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>
        <w:trPr/>
        <w:tc>
          <w:tcPr>
            <w:tcW w:w="6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Minimum interval between processed external set-point updates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3 s</w:t>
            </w:r>
          </w:p>
        </w:tc>
      </w:tr>
      <w:tr>
        <w:trPr/>
        <w:tc>
          <w:tcPr>
            <w:tcW w:w="6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Commands arriving faster than 3 s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Rejected</w:t>
            </w:r>
          </w:p>
        </w:tc>
      </w:tr>
    </w:tbl>
    <w:p>
      <w:pPr>
        <w:pStyle w:val="Normal"/>
        <w:spacing w:before="0" w:after="160"/>
        <w:rPr/>
      </w:pPr>
      <w:r>
        <w:rPr>
          <w:i/>
          <w:iCs/>
          <w:color w:val="666666"/>
          <w:sz w:val="18"/>
          <w:szCs w:val="18"/>
        </w:rPr>
        <w:t>Source (Annex O): O.7.3.3 "External Set Point Dynamics".</w:t>
      </w:r>
    </w:p>
    <w:p>
      <w:pPr>
        <w:pStyle w:val="Heading1"/>
        <w:pBdr>
          <w:bottom w:val="single" w:sz="8" w:space="4" w:color="1F6F54"/>
        </w:pBdr>
        <w:spacing w:before="360" w:after="160"/>
        <w:rPr/>
      </w:pPr>
      <w:r>
        <w:rPr>
          <w:b/>
          <w:bCs/>
          <w:color w:val="1F6F54"/>
          <w:sz w:val="28"/>
          <w:szCs w:val="28"/>
        </w:rPr>
        <w:t>4. Measurement &amp; Data-Exchange Periodicity (Mandatory, PF1)</w:t>
      </w:r>
    </w:p>
    <w:p>
      <w:pPr>
        <w:pStyle w:val="Normal"/>
        <w:spacing w:before="0" w:after="120"/>
        <w:rPr/>
      </w:pPr>
      <w:r>
        <w:rPr/>
        <w:t>All periodic transmissions below must be synchronised to the 0/4/8/12/…/56-second marks of each minute (i.e., every 4 s, boundary-aligned).</w:t>
      </w:r>
    </w:p>
    <w:tbl>
      <w:tblPr>
        <w:tblW w:w="10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000"/>
        <w:gridCol w:w="2299"/>
        <w:gridCol w:w="2600"/>
        <w:gridCol w:w="2501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Data / Function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Aggregation window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Transmission periodicity</w:t>
            </w:r>
          </w:p>
        </w:tc>
        <w:tc>
          <w:tcPr>
            <w:tcW w:w="2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P, Q, V at POC → DSO (power-flow monitoring)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s fixed block interval (IEC 61557-12)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Every 4 s, synchronous with :00,:04,:08…</w:t>
            </w:r>
          </w:p>
        </w:tc>
        <w:tc>
          <w:tcPr>
            <w:tcW w:w="2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Complete with timestamp and quality index (O.8.3)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P, Q at POC + aggregated/unit-level P → TSO via DSO (network observability)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4 s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Every 4 s, synchronous with :00,:04,:08…</w:t>
            </w:r>
          </w:p>
        </w:tc>
        <w:tc>
          <w:tcPr>
            <w:tcW w:w="2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Overwrites previous value; no buffering at the interface (O.8.4)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Instantaneous P (and Q) at POC → Aggregator/BSP (MSD participation, PF3)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Instantaneous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Every 4 s, synchronous with :00,:04,:08…</w:t>
            </w:r>
          </w:p>
        </w:tc>
        <w:tc>
          <w:tcPr>
            <w:tcW w:w="2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Real-time value, not averaged (O.8.5)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Status change of General Switch (DG) / Generating-Unit Switch (DDG)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Event-driven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Notified within max 4 s of event occurrence</w:t>
            </w:r>
          </w:p>
        </w:tc>
        <w:tc>
          <w:tcPr>
            <w:tcW w:w="2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O.8.6</w:t>
            </w:r>
          </w:p>
        </w:tc>
      </w:tr>
    </w:tbl>
    <w:p>
      <w:pPr>
        <w:pStyle w:val="Heading2"/>
        <w:spacing w:before="260" w:after="120"/>
        <w:rPr/>
      </w:pPr>
      <w:r>
        <w:rPr>
          <w:b/>
          <w:bCs/>
          <w:color w:val="1F6F54"/>
          <w:sz w:val="24"/>
          <w:szCs w:val="24"/>
        </w:rPr>
        <w:t>4.1 Generating-Unit-Level Measurement Thresholds (for individually transmitted P measurements)</w:t>
      </w:r>
    </w:p>
    <w:tbl>
      <w:tblPr>
        <w:tblW w:w="10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5499"/>
        <w:gridCol w:w="4901"/>
      </w:tblGrid>
      <w:tr>
        <w:trPr>
          <w:tblHeader w:val="true"/>
        </w:trPr>
        <w:tc>
          <w:tcPr>
            <w:tcW w:w="5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Unit type</w:t>
            </w:r>
          </w:p>
        </w:tc>
        <w:tc>
          <w:tcPr>
            <w:tcW w:w="4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Size threshold requiring individual measurement</w:t>
            </w:r>
          </w:p>
        </w:tc>
      </w:tr>
      <w:tr>
        <w:trPr/>
        <w:tc>
          <w:tcPr>
            <w:tcW w:w="5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Inverters of generating units (incl. wind via inverter)</w:t>
            </w:r>
          </w:p>
        </w:tc>
        <w:tc>
          <w:tcPr>
            <w:tcW w:w="4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Nominal power P ≥ 170 kW</w:t>
            </w:r>
          </w:p>
        </w:tc>
      </w:tr>
      <w:tr>
        <w:trPr/>
        <w:tc>
          <w:tcPr>
            <w:tcW w:w="5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Inverters of storage systems</w:t>
            </w:r>
          </w:p>
        </w:tc>
        <w:tc>
          <w:tcPr>
            <w:tcW w:w="4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Rated power P ≥ 50 kW</w:t>
            </w:r>
          </w:p>
        </w:tc>
      </w:tr>
      <w:tr>
        <w:trPr/>
        <w:tc>
          <w:tcPr>
            <w:tcW w:w="5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Rotating generators</w:t>
            </w:r>
          </w:p>
        </w:tc>
        <w:tc>
          <w:tcPr>
            <w:tcW w:w="4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Rated power P ≥ 250 kW</w:t>
            </w:r>
          </w:p>
        </w:tc>
      </w:tr>
    </w:tbl>
    <w:p>
      <w:pPr>
        <w:pStyle w:val="Normal"/>
        <w:spacing w:before="0" w:after="160"/>
        <w:rPr/>
      </w:pPr>
      <w:r>
        <w:rPr>
          <w:i/>
          <w:iCs/>
          <w:color w:val="666666"/>
          <w:sz w:val="18"/>
          <w:szCs w:val="18"/>
        </w:rPr>
        <w:t>Source (Annex O): O.8.4, item c).</w:t>
      </w:r>
    </w:p>
    <w:p>
      <w:pPr>
        <w:pStyle w:val="Heading1"/>
        <w:pBdr>
          <w:bottom w:val="single" w:sz="8" w:space="4" w:color="1F6F54"/>
        </w:pBdr>
        <w:spacing w:before="360" w:after="160"/>
        <w:rPr/>
      </w:pPr>
      <w:r>
        <w:rPr>
          <w:b/>
          <w:bCs/>
          <w:color w:val="1F6F54"/>
          <w:sz w:val="28"/>
          <w:szCs w:val="28"/>
        </w:rPr>
        <w:t>5. Measurement Accuracy Requirements</w:t>
      </w:r>
    </w:p>
    <w:tbl>
      <w:tblPr>
        <w:tblW w:w="10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199"/>
        <w:gridCol w:w="6201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Measuring converter accuracy class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≤ </w:t>
            </w:r>
            <w:r>
              <w:rPr>
                <w:b w:val="false"/>
                <w:bCs w:val="false"/>
                <w:sz w:val="20"/>
                <w:szCs w:val="20"/>
              </w:rPr>
              <w:t>0.2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Current transformer (CT) accuracy class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≤ </w:t>
            </w:r>
            <w:r>
              <w:rPr>
                <w:b w:val="false"/>
                <w:bCs w:val="false"/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Voltage transformer (VT) accuracy class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≤ </w:t>
            </w:r>
            <w:r>
              <w:rPr>
                <w:b w:val="false"/>
                <w:bCs w:val="false"/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Rated burden (where applicable)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5 VA or 10 VA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Measurement standard / method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IEC 61557-12, fixed block interval method (Annex B); accuracy classes as above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Dedicated fiscal-metering CT/VT reuse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Excluded — fiscal CTs/VTs cannot be used for CCI measurements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Shared transducers (measurement/protection)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Allowed only if no interference between uses (dedicated windings/cores if necessary)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Compliance target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Must satisfy accuracy requirements of Tables 5 &amp; 6, Annex A.6 of the TSO Grid Code</w:t>
            </w:r>
          </w:p>
        </w:tc>
      </w:tr>
    </w:tbl>
    <w:p>
      <w:pPr>
        <w:pStyle w:val="Normal"/>
        <w:spacing w:before="0" w:after="160"/>
        <w:rPr/>
      </w:pPr>
      <w:r>
        <w:rPr>
          <w:i/>
          <w:iCs/>
          <w:color w:val="666666"/>
          <w:sz w:val="18"/>
          <w:szCs w:val="18"/>
        </w:rPr>
        <w:t>Source (Annex O): O.13.2.1 "Requirements for transducers and measuring converters".</w:t>
      </w:r>
    </w:p>
    <w:p>
      <w:pPr>
        <w:pStyle w:val="Heading1"/>
        <w:pBdr>
          <w:bottom w:val="single" w:sz="8" w:space="4" w:color="1F6F54"/>
        </w:pBdr>
        <w:spacing w:before="360" w:after="160"/>
        <w:rPr/>
      </w:pPr>
      <w:r>
        <w:rPr>
          <w:b/>
          <w:bCs/>
          <w:color w:val="1F6F54"/>
          <w:sz w:val="28"/>
          <w:szCs w:val="28"/>
        </w:rPr>
        <w:t>6. Polygonal Characteristic &amp; Power Reference Quantities (PF2/PF3)</w:t>
      </w:r>
    </w:p>
    <w:p>
      <w:pPr>
        <w:pStyle w:val="Normal"/>
        <w:spacing w:before="0" w:after="120"/>
        <w:rPr/>
      </w:pPr>
      <w:r>
        <w:rPr/>
        <w:t>Producer-declared quantities (stated in the "Operating Rule") that define the plant's operating envelope at the POC:</w:t>
      </w:r>
    </w:p>
    <w:tbl>
      <w:tblPr>
        <w:tblW w:w="101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199"/>
        <w:gridCol w:w="7901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7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Pass</w:t>
            </w:r>
          </w:p>
        </w:tc>
        <w:tc>
          <w:tcPr>
            <w:tcW w:w="7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Maximum active power absorption from the grid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Pimm (Pfed)</w:t>
            </w:r>
          </w:p>
        </w:tc>
        <w:tc>
          <w:tcPr>
            <w:tcW w:w="7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Maximum active power fed into the grid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Qcap</w:t>
            </w:r>
          </w:p>
        </w:tc>
        <w:tc>
          <w:tcPr>
            <w:tcW w:w="7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Maximum capacitive reactive power (overexcitation)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Qind</w:t>
            </w:r>
          </w:p>
        </w:tc>
        <w:tc>
          <w:tcPr>
            <w:tcW w:w="7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Maximum inductive reactive power (underexcitation)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Smax</w:t>
            </w:r>
          </w:p>
        </w:tc>
        <w:tc>
          <w:tcPr>
            <w:tcW w:w="7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Maximum apparent power = √[max(Pimm², Pass²) + max(Qind², Qcap²)] — used as the p.u. reference base for all set-points exchanged with DSO/Aggregator</w:t>
            </w:r>
          </w:p>
        </w:tc>
      </w:tr>
    </w:tbl>
    <w:p>
      <w:pPr>
        <w:pStyle w:val="Normal"/>
        <w:spacing w:before="0" w:after="160"/>
        <w:rPr/>
      </w:pPr>
      <w:r>
        <w:rPr>
          <w:i/>
          <w:iCs/>
          <w:color w:val="666666"/>
          <w:sz w:val="18"/>
          <w:szCs w:val="18"/>
        </w:rPr>
        <w:t>Source (Annex O): O.8.2 "Polygonal characteristic of the plant".</w:t>
      </w:r>
    </w:p>
    <w:p>
      <w:pPr>
        <w:pStyle w:val="Heading1"/>
        <w:pBdr>
          <w:bottom w:val="single" w:sz="8" w:space="4" w:color="1F6F54"/>
        </w:pBdr>
        <w:spacing w:before="360" w:after="160"/>
        <w:rPr/>
      </w:pPr>
      <w:r>
        <w:rPr>
          <w:b/>
          <w:bCs/>
          <w:color w:val="1F6F54"/>
          <w:sz w:val="28"/>
          <w:szCs w:val="28"/>
        </w:rPr>
        <w:t>7. Control-Function Parameters and Thresholds (PF2 — Voltage Control &amp; Active Power Limitation)</w:t>
      </w:r>
    </w:p>
    <w:p>
      <w:pPr>
        <w:pStyle w:val="Heading2"/>
        <w:spacing w:before="260" w:after="120"/>
        <w:rPr/>
      </w:pPr>
      <w:r>
        <w:rPr>
          <w:b/>
          <w:bCs/>
          <w:color w:val="1F6F54"/>
          <w:sz w:val="24"/>
          <w:szCs w:val="24"/>
        </w:rPr>
        <w:t>7.1 cosφ = f(P) Control (O.9.1.2)</w:t>
      </w:r>
    </w:p>
    <w:tbl>
      <w:tblPr>
        <w:tblW w:w="10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199"/>
        <w:gridCol w:w="6201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Deadband δcosφ (α)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α = 0.02 (default; must be adjustable)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Trigger rule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New cosφ transmitted to fast control ring only if |cosφ_calculated − cosφ_internal_setpoint| ≥ α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Voltage lock-in / lock-out thresholds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User-settable; verified on ΔT-averaged voltage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Recalculation rate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Every ΔT (slow control ring)</w:t>
            </w:r>
          </w:p>
        </w:tc>
      </w:tr>
    </w:tbl>
    <w:p>
      <w:pPr>
        <w:pStyle w:val="Heading2"/>
        <w:spacing w:before="260" w:after="120"/>
        <w:rPr/>
      </w:pPr>
      <w:r>
        <w:rPr>
          <w:b/>
          <w:bCs/>
          <w:color w:val="1F6F54"/>
          <w:sz w:val="24"/>
          <w:szCs w:val="24"/>
        </w:rPr>
        <w:t>7.2 Q = f(V) Control (O.9.1.3)</w:t>
      </w:r>
    </w:p>
    <w:tbl>
      <w:tblPr>
        <w:tblW w:w="10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199"/>
        <w:gridCol w:w="6201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Deadband δQ (σ)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σ = 5% of Qmax (default; must be adjustable)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Trigger rule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New Q transmitted to fast control ring only if |Q_calculated − Q_internal_setpoint| ≥ σ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Active-power lock-in threshold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0.2 × Pfed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Active-power lock-out threshold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0.05 × Pfed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Lock-in/lock-out verification basis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ΔT-averaged active power values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Voltage breakpoints (settable)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V1i, V2i, V1s, V2s (curve shape per CEI 0-16 Fig. 67 / Clause I.3)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Slope parameter k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Adjustable, −1 ≤ k ≤ +1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Recalculation rate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Every ΔT (slow control ring)</w:t>
            </w:r>
          </w:p>
        </w:tc>
      </w:tr>
    </w:tbl>
    <w:p>
      <w:pPr>
        <w:pStyle w:val="Heading2"/>
        <w:spacing w:before="260" w:after="120"/>
        <w:rPr/>
      </w:pPr>
      <w:r>
        <w:rPr>
          <w:b/>
          <w:bCs/>
          <w:color w:val="1F6F54"/>
          <w:sz w:val="24"/>
          <w:szCs w:val="24"/>
        </w:rPr>
        <w:t>7.3 Active Power Limitation (O.9.2)</w:t>
      </w:r>
    </w:p>
    <w:tbl>
      <w:tblPr>
        <w:tblW w:w="10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199"/>
        <w:gridCol w:w="6201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Case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Limitation for V ≈ 110% Un (O.9.2.1)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Autonomous function, user-activated only (local or remote terminal); every activation and every actual intervention must be logged in the data logger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Limitation on external DSO command (O.9.2.2)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Slaved function; if no comms channel, executed manually by user per the "Operating Rule" procedure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Modulation of active power on external DSO command (O.9.2.3)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Slaved function; identical implementation to the Active Power Set-Point function (O.10.3.1)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Max limitation step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Never larger than the steps stated in CEI 0-16 itself</w:t>
            </w:r>
          </w:p>
        </w:tc>
      </w:tr>
    </w:tbl>
    <w:p>
      <w:pPr>
        <w:pStyle w:val="Heading2"/>
        <w:spacing w:before="260" w:after="120"/>
        <w:rPr/>
      </w:pPr>
      <w:r>
        <w:rPr>
          <w:b/>
          <w:bCs/>
          <w:color w:val="1F6F54"/>
          <w:sz w:val="24"/>
          <w:szCs w:val="24"/>
        </w:rPr>
        <w:t>7.4 Plant Start-Up / Reconnection Power Gradient (PF3, O.10.1–O.10.2)</w:t>
      </w:r>
    </w:p>
    <w:tbl>
      <w:tblPr>
        <w:tblW w:w="10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199"/>
        <w:gridCol w:w="6201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Centralised start-up power growth gradient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Positive gradient not exceeding 20% Pn/min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Reconnection after interface-protection trip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Same gradient rule; reconnection enabled only once grid V/f meet CEI 0-16 clause 8.8.7.2 conditions</w:t>
            </w:r>
          </w:p>
        </w:tc>
      </w:tr>
    </w:tbl>
    <w:p>
      <w:pPr>
        <w:pStyle w:val="Heading1"/>
        <w:pBdr>
          <w:bottom w:val="single" w:sz="8" w:space="4" w:color="1F6F54"/>
        </w:pBdr>
        <w:spacing w:before="360" w:after="160"/>
        <w:rPr/>
      </w:pPr>
      <w:r>
        <w:rPr>
          <w:b/>
          <w:bCs/>
          <w:color w:val="1F6F54"/>
          <w:sz w:val="28"/>
          <w:szCs w:val="28"/>
        </w:rPr>
        <w:t>8. Priority Among Control Functions (Table 1, Annex O Clause O.11)</w:t>
      </w:r>
    </w:p>
    <w:p>
      <w:pPr>
        <w:pStyle w:val="Normal"/>
        <w:spacing w:before="0" w:after="120"/>
        <w:rPr/>
      </w:pPr>
      <w:r>
        <w:rPr/>
        <w:t>Lower index = higher execution priority. If a higher/equal-priority function is requested while an incompatible lower-priority one is active, the new one takes over immediately.</w:t>
      </w:r>
    </w:p>
    <w:tbl>
      <w:tblPr>
        <w:tblW w:w="101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499"/>
        <w:gridCol w:w="7601"/>
      </w:tblGrid>
      <w:tr>
        <w:trPr>
          <w:tblHeader w:val="true"/>
        </w:trPr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Priority index</w:t>
            </w:r>
          </w:p>
        </w:tc>
        <w:tc>
          <w:tcPr>
            <w:tcW w:w="7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Control function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 (highest)</w:t>
            </w:r>
          </w:p>
        </w:tc>
        <w:tc>
          <w:tcPr>
            <w:tcW w:w="7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Active power limit intervention for V ≈ 110% VN (O.9.2.1)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7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Active power limitation on external DSO command (O.9.2.2)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7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Modulation of active power to POC on external command from DSO (O.9.2.3)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7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Active Power Set-Point function on external command (O.10.3.1)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7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Voltage regulation via reactive power supply on external command from DSO (O.9.1.4)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7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Set-point power factor (cosφ) (O.9.1.1)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7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Reactive power control Q = f(V) (O.9.1.3)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7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Reactive power control cosφ = f(P) (O.9.1.2)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7 (lowest)</w:t>
            </w:r>
          </w:p>
        </w:tc>
        <w:tc>
          <w:tcPr>
            <w:tcW w:w="7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Reactive Power Set-Point function on external command (O.10.3.2)</w:t>
            </w:r>
          </w:p>
        </w:tc>
      </w:tr>
    </w:tbl>
    <w:p>
      <w:pPr>
        <w:pStyle w:val="Normal"/>
        <w:spacing w:before="0" w:after="120"/>
        <w:rPr/>
      </w:pPr>
      <w:r>
        <w:rPr>
          <w:i/>
          <w:iCs/>
          <w:sz w:val="19"/>
          <w:szCs w:val="19"/>
        </w:rPr>
        <w:t>Above/outside this table, with absolute priority over everything else: (a) individual-machine over-/under-frequency active-power regulation (CEI 0-16 §8.8.6.3.2 / §8.8.6.3.3 — explicitly NOT implemented by CCI itself, must remain at unit level); (b) full/partial plant disconnection commanded by the "defence plan" teletripping device (Annex M) — CCI must not take any conflicting action when this occurs.</w:t>
      </w:r>
    </w:p>
    <w:p>
      <w:pPr>
        <w:pStyle w:val="Heading1"/>
        <w:pBdr>
          <w:bottom w:val="single" w:sz="8" w:space="4" w:color="1F6F54"/>
        </w:pBdr>
        <w:spacing w:before="360" w:after="160"/>
        <w:rPr/>
      </w:pPr>
      <w:r>
        <w:rPr>
          <w:b/>
          <w:bCs/>
          <w:color w:val="1F6F54"/>
          <w:sz w:val="28"/>
          <w:szCs w:val="28"/>
        </w:rPr>
        <w:t>9. Communication Interface Technical Specifications</w:t>
      </w:r>
    </w:p>
    <w:p>
      <w:pPr>
        <w:pStyle w:val="Heading2"/>
        <w:spacing w:before="260" w:after="120"/>
        <w:rPr/>
      </w:pPr>
      <w:r>
        <w:rPr>
          <w:b/>
          <w:bCs/>
          <w:color w:val="1F6F54"/>
          <w:sz w:val="24"/>
          <w:szCs w:val="24"/>
        </w:rPr>
        <w:t>9.1 External Network Interfaces (O.13.1.1.1)</w:t>
      </w:r>
    </w:p>
    <w:tbl>
      <w:tblPr>
        <w:tblW w:w="101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599"/>
        <w:gridCol w:w="3200"/>
        <w:gridCol w:w="2901"/>
        <w:gridCol w:w="24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Physical layer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Protocols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Eth_A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Communication to DSO</w:t>
            </w:r>
          </w:p>
        </w:tc>
        <w:tc>
          <w:tcPr>
            <w:tcW w:w="2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100BaseFX, optical, dual LC connector, 1310 nm multimode fibre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TCP/IPv4 (mandatory), IPv6 (optional); IEC 61850 family (MMS, GOOSE); SSL/TLS 1.2+ per IEC 62351-4/-8/-9; DHCP; DNS forwarding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Eth_B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Communication to other enabled remote operators (User remote / Aggregator)</w:t>
            </w:r>
          </w:p>
        </w:tc>
        <w:tc>
          <w:tcPr>
            <w:tcW w:w="2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10BaseT / 100BaseTX, auto-negotiation, auto MDI/MDIX (may use SFP)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Same protocol stack as Eth_A</w:t>
            </w:r>
          </w:p>
        </w:tc>
      </w:tr>
    </w:tbl>
    <w:p>
      <w:pPr>
        <w:pStyle w:val="Normal"/>
        <w:spacing w:before="0" w:after="120"/>
        <w:rPr/>
      </w:pPr>
      <w:r>
        <w:rPr>
          <w:sz w:val="19"/>
          <w:szCs w:val="19"/>
        </w:rPr>
        <w:t>Both interfaces: physical-link and data-link status must be exposed in the data logger. No internal switch/bridge function is permitted between CCI's own interfaces — no data exchange between Eth_A, Eth_B, the local configuration port, or the plant-element network is allowed inside CCI.</w:t>
      </w:r>
    </w:p>
    <w:p>
      <w:pPr>
        <w:pStyle w:val="Heading2"/>
        <w:spacing w:before="260" w:after="120"/>
        <w:rPr/>
      </w:pPr>
      <w:r>
        <w:rPr>
          <w:b/>
          <w:bCs/>
          <w:color w:val="1F6F54"/>
          <w:sz w:val="24"/>
          <w:szCs w:val="24"/>
        </w:rPr>
        <w:t>9.2 Local Configuration / Maintenance Interface (O.13.1.1.2)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Serial or USB technology only — IP-based communication explicitly excluded for security reasons.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Must implement user-recognition/authentication to prevent unauthorised access.</w:t>
      </w:r>
    </w:p>
    <w:p>
      <w:pPr>
        <w:pStyle w:val="Heading2"/>
        <w:spacing w:before="260" w:after="120"/>
        <w:rPr/>
      </w:pPr>
      <w:r>
        <w:rPr>
          <w:b/>
          <w:bCs/>
          <w:color w:val="1F6F54"/>
          <w:sz w:val="24"/>
          <w:szCs w:val="24"/>
        </w:rPr>
        <w:t>9.3 Loss-of-Communication Fallback Timing (O.13.1.2 / O.13.1.3)</w:t>
      </w:r>
    </w:p>
    <w:tbl>
      <w:tblPr>
        <w:tblW w:w="101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799"/>
        <w:gridCol w:w="7301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7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Fallback behaviour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DSO channel (Eth_A) lost while CCI performs control</w:t>
            </w:r>
          </w:p>
        </w:tc>
        <w:tc>
          <w:tcPr>
            <w:tcW w:w="7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Automatic switch to pre-configured autonomous mode; switch delay must be long enough to ensure the loss is permanent (exact value set with DSO in "Operating Rule"); auto-restore to DSO-requested mode when comms return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Aggregator/BSP channel (Eth_B, MSD) lost</w:t>
            </w:r>
          </w:p>
        </w:tc>
        <w:tc>
          <w:tcPr>
            <w:tcW w:w="7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Same principle: delayed automatic switch to pre-configured mode, agreed with Aggregator after verification with DSO; auto-restore when comms return</w:t>
            </w:r>
          </w:p>
        </w:tc>
      </w:tr>
    </w:tbl>
    <w:p>
      <w:pPr>
        <w:pStyle w:val="Heading1"/>
        <w:pBdr>
          <w:bottom w:val="single" w:sz="8" w:space="4" w:color="1F6F54"/>
        </w:pBdr>
        <w:spacing w:before="360" w:after="160"/>
        <w:rPr/>
      </w:pPr>
      <w:r>
        <w:rPr>
          <w:b/>
          <w:bCs/>
          <w:color w:val="1F6F54"/>
          <w:sz w:val="28"/>
          <w:szCs w:val="28"/>
        </w:rPr>
        <w:t>10. Power Supply, Clock and Reliability</w:t>
      </w:r>
    </w:p>
    <w:tbl>
      <w:tblPr>
        <w:tblW w:w="10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199"/>
        <w:gridCol w:w="6201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Backup power autonomy (UPS/battery)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≥ </w:t>
            </w:r>
            <w:r>
              <w:rPr>
                <w:b w:val="false"/>
                <w:bCs w:val="false"/>
                <w:sz w:val="20"/>
                <w:szCs w:val="20"/>
              </w:rPr>
              <w:t>1 hour for CCI circuits and associated data-communication equipment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 reference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UTC (Coordinated Universal Time), via GPS receiver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Time-sync uncertainty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≤ </w:t>
            </w:r>
            <w:r>
              <w:rPr>
                <w:b w:val="false"/>
                <w:bCs w:val="false"/>
                <w:sz w:val="20"/>
                <w:szCs w:val="20"/>
              </w:rPr>
              <w:t>±100 ms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Clock drift during loss of external sync / power loss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≤ </w:t>
            </w:r>
            <w:r>
              <w:rPr>
                <w:b w:val="false"/>
                <w:bCs w:val="false"/>
                <w:sz w:val="20"/>
                <w:szCs w:val="20"/>
              </w:rPr>
              <w:t>1 s/day, across the full allowable operating temperature range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Reliability/availability target</w:t>
            </w:r>
          </w:p>
        </w:tc>
        <w:tc>
          <w:tcPr>
            <w:tcW w:w="6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Per TSO Grid Code Annex A.13, Article 6.2 (subject to be defined per ARERA Resolution 628/18/R/EEL)</w:t>
            </w:r>
          </w:p>
        </w:tc>
      </w:tr>
    </w:tbl>
    <w:p>
      <w:pPr>
        <w:pStyle w:val="Normal"/>
        <w:spacing w:before="0" w:after="160"/>
        <w:rPr/>
      </w:pPr>
      <w:r>
        <w:rPr>
          <w:i/>
          <w:iCs/>
          <w:color w:val="666666"/>
          <w:sz w:val="18"/>
          <w:szCs w:val="18"/>
        </w:rPr>
        <w:t>Source (Annex O): O.13.3 "CCI Power supply"; O.13.5 "Internal clock and synchronisation"; O.13.10.</w:t>
      </w:r>
    </w:p>
    <w:p>
      <w:pPr>
        <w:pStyle w:val="Heading1"/>
        <w:pBdr>
          <w:bottom w:val="single" w:sz="8" w:space="4" w:color="1F6F54"/>
        </w:pBdr>
        <w:spacing w:before="360" w:after="160"/>
        <w:rPr/>
      </w:pPr>
      <w:r>
        <w:rPr>
          <w:b/>
          <w:bCs/>
          <w:color w:val="1F6F54"/>
          <w:sz w:val="28"/>
          <w:szCs w:val="28"/>
        </w:rPr>
        <w:t>11. Data Logger Requirements (O.14)</w:t>
      </w:r>
    </w:p>
    <w:tbl>
      <w:tblPr>
        <w:tblW w:w="104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599"/>
        <w:gridCol w:w="5801"/>
      </w:tblGrid>
      <w:tr>
        <w:trPr>
          <w:tblHeader w:val="true"/>
        </w:trPr>
        <w:tc>
          <w:tcPr>
            <w:tcW w:w="4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>
        <w:trPr/>
        <w:tc>
          <w:tcPr>
            <w:tcW w:w="4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Minimum stored events (rolling, non-overwritable by user)</w:t>
            </w:r>
          </w:p>
        </w:tc>
        <w:tc>
          <w:tcPr>
            <w:tcW w:w="5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2048 events</w:t>
            </w:r>
          </w:p>
        </w:tc>
      </w:tr>
      <w:tr>
        <w:trPr/>
        <w:tc>
          <w:tcPr>
            <w:tcW w:w="4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 format</w:t>
            </w:r>
          </w:p>
        </w:tc>
        <w:tc>
          <w:tcPr>
            <w:tcW w:w="5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yyyy/mm/dd hh:mm:ss</w:t>
            </w:r>
          </w:p>
        </w:tc>
      </w:tr>
      <w:tr>
        <w:trPr/>
        <w:tc>
          <w:tcPr>
            <w:tcW w:w="4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Access control</w:t>
            </w:r>
          </w:p>
        </w:tc>
        <w:tc>
          <w:tcPr>
            <w:tcW w:w="5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Username/password (or equivalent) required</w:t>
            </w:r>
          </w:p>
        </w:tc>
      </w:tr>
      <w:tr>
        <w:trPr/>
        <w:tc>
          <w:tcPr>
            <w:tcW w:w="4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Remote read-out</w:t>
            </w:r>
          </w:p>
        </w:tc>
        <w:tc>
          <w:tcPr>
            <w:tcW w:w="5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Standard protocol (e.g., syslog per RFC 5424, for SIEM integration)</w:t>
            </w:r>
          </w:p>
        </w:tc>
      </w:tr>
    </w:tbl>
    <w:p>
      <w:pPr>
        <w:pStyle w:val="Heading3"/>
        <w:spacing w:before="200" w:after="100"/>
        <w:rPr/>
      </w:pPr>
      <w:r>
        <w:rPr>
          <w:b/>
          <w:bCs/>
          <w:sz w:val="22"/>
          <w:szCs w:val="22"/>
        </w:rPr>
        <w:t>Mandatory event categories to be logged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CCI power supply presence; power on/off and cause; firmware update (incl. version) and failed updates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Status (open/closed) of General Switch (DG) and Interface Switch(es) (DI)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Presence/absence of communication to DSO, to external operators, and to plant elements (physical-link and data-link status)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CCI functionality status; measurement-device functionality status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Irregular connections/disconnections to the communication network; connection to abnormal service endpoints or at inappropriate times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Anomalous network-traffic fingerprints (port scanning, deep scanning, etc.); malformed messages / message-authenticity verification errors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Authentication attempts (failed and successful); credential/key changes and failed change attempts; alarm/error-log resets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If bootloader lockout password is used: failed and successful boot authentications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Start/stop/activation status of each control function; events causing CCI to issue commands to plant elements (e.g. exceeding 110% Vn threshold, control-function intervention, set-point implementation)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Commands received from DSO and from any other authorised external operator, with their parameters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Tripping of General Protection (PG) and Interface Protection (PI)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Tripping of the defence-plan teletripping function (Annex M)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Tripping of over-/under-frequency regulation by controlled machines/units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Any change to control-function priority settings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Entry of new/changed characteristic electrical parameters of the installation (polygonal curve updates)</w:t>
      </w:r>
    </w:p>
    <w:p>
      <w:pPr>
        <w:pStyle w:val="Heading1"/>
        <w:pBdr>
          <w:bottom w:val="single" w:sz="8" w:space="4" w:color="1F6F54"/>
        </w:pBdr>
        <w:spacing w:before="360" w:after="160"/>
        <w:rPr/>
      </w:pPr>
      <w:r>
        <w:rPr>
          <w:b/>
          <w:bCs/>
          <w:color w:val="1F6F54"/>
          <w:sz w:val="28"/>
          <w:szCs w:val="28"/>
        </w:rPr>
        <w:t>12. Testing, Accreditation &amp; Certification Requirements</w:t>
      </w:r>
    </w:p>
    <w:tbl>
      <w:tblPr>
        <w:tblW w:w="101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599"/>
        <w:gridCol w:w="7501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Test category</w:t>
            </w:r>
          </w:p>
        </w:tc>
        <w:tc>
          <w:tcPr>
            <w:tcW w:w="7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6F5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Requirement / Standard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Functional tests</w:t>
            </w:r>
          </w:p>
        </w:tc>
        <w:tc>
          <w:tcPr>
            <w:tcW w:w="7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Verify all applicable PF1/PF2/PF3 functions per Annex O Clause O.6; measurement accuracy, disturbance immunity, update-interval compliance; IEC 61850 comms correctness; self-diagnostics; data logging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General conformity (environmental/EMC/insulation)</w:t>
            </w:r>
          </w:p>
        </w:tc>
        <w:tc>
          <w:tcPr>
            <w:tcW w:w="7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CEI EN 61557-12 (recalls IEC 61010-1 and, notably, IEC 61010-2-201); reference temperature class ≥ K55; must run in a lab accredited per CEI UNI EN ISO/IEC 17025 (in Italy: ACCREDIA)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Hardware cybersecurity / tamper resistance</w:t>
            </w:r>
          </w:p>
        </w:tc>
        <w:tc>
          <w:tcPr>
            <w:tcW w:w="7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At least FIPS 140-2 Level 3, certified by an independent body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Product security (secure development lifecycle)</w:t>
            </w:r>
          </w:p>
        </w:tc>
        <w:tc>
          <w:tcPr>
            <w:tcW w:w="7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ISA Secure EDSA v3.0.0, per IEC 62443-4-1 and IEC 62443-4-2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IEC 61850 conformance</w:t>
            </w:r>
          </w:p>
        </w:tc>
        <w:tc>
          <w:tcPr>
            <w:tcW w:w="7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Certified by a laboratory accredited by the UCA User Group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Secure transport (IEC 62351-3)</w:t>
            </w:r>
          </w:p>
        </w:tc>
        <w:tc>
          <w:tcPr>
            <w:tcW w:w="7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Conformance per IEC 62351-100-3, certified by an accredited body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Quality system</w:t>
            </w:r>
          </w:p>
        </w:tc>
        <w:tc>
          <w:tcPr>
            <w:tcW w:w="7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ISO 9001:2000 (as amended) certification of the manufacturing process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CE marking</w:t>
            </w:r>
          </w:p>
        </w:tc>
        <w:tc>
          <w:tcPr>
            <w:tcW w:w="7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F3E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Mandatory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Declaration of Conformity</w:t>
            </w:r>
          </w:p>
        </w:tc>
        <w:tc>
          <w:tcPr>
            <w:tcW w:w="7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Manufacturer self-certification per Art. 47 of Italian Presidential Decree 445/2000; test reports retained ≥ 20 years from last production</w:t>
            </w:r>
          </w:p>
        </w:tc>
      </w:tr>
    </w:tbl>
    <w:p>
      <w:pPr>
        <w:pStyle w:val="Heading1"/>
        <w:pBdr>
          <w:bottom w:val="single" w:sz="8" w:space="4" w:color="1F6F54"/>
        </w:pBdr>
        <w:spacing w:before="360" w:after="160"/>
        <w:rPr/>
      </w:pPr>
      <w:r>
        <w:rPr>
          <w:b/>
          <w:bCs/>
          <w:color w:val="1F6F54"/>
          <w:sz w:val="28"/>
          <w:szCs w:val="28"/>
        </w:rPr>
        <w:t>13. Open Items — Pending Annex T</w:t>
      </w:r>
    </w:p>
    <w:p>
      <w:pPr>
        <w:pStyle w:val="Normal"/>
        <w:spacing w:before="0" w:after="120"/>
        <w:rPr/>
      </w:pPr>
      <w:r>
        <w:rPr/>
        <w:t>The following items are referenced by Annex O but fully specified only in Annex T ("Cybersecurity requirements relating to communication from the outside to CCI and from CCI to the outside"), which has not yet been uploaded/processed: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Complete IEC 61850 logical-node / data-model mapping for all measurements, signals and commands listed in this document (Appendix O-1 gives only illustrative examples, e.g. Q=f(V) status transitions OFF→ON→ACT).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Full cybersecurity architecture: certificate/PKI management, authentication mechanisms referenced in O.13.4 (firmware update) and O.13.7 (hardware tamper protection), Asset Inventory API details (O.13.7.2).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GOOSE/MMS specific timing performance classes, if any beyond what O.7.3 already fixes.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Detailed VPN/private-network requirements for Eth_A/Eth_B referenced in Annex O footnote 197.</w:t>
      </w:r>
    </w:p>
    <w:p>
      <w:pPr>
        <w:pStyle w:val="Normal"/>
        <w:spacing w:before="0" w:after="120"/>
        <w:rPr/>
      </w:pPr>
      <w:r>
        <w:rPr>
          <w:b/>
          <w:bCs/>
        </w:rPr>
        <w:t>Once Annex T is available, this document should be revised to add a dedicated "Cybersecurity &amp; Data Model" section and cross-check every mandatory value above against Annex T for consistency.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6"/>
        <w:szCs w:val="16"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8</w:t>
    </w:r>
    <w:r>
      <w:rPr>
        <w:b/>
        <w:bCs/>
      </w:rPr>
      <w:fldChar w:fldCharType="end"/>
    </w:r>
    <w:r>
      <w:rPr>
        <w:sz w:val="16"/>
        <w:szCs w:val="16"/>
      </w:rP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8</w:t>
    </w:r>
    <w:r>
      <w:rPr>
        <w:b/>
        <w:bCs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6"/>
        <w:szCs w:val="16"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8</w:t>
    </w:r>
    <w:r>
      <w:rPr>
        <w:b/>
        <w:bCs/>
      </w:rPr>
      <w:fldChar w:fldCharType="end"/>
    </w:r>
    <w:r>
      <w:rPr>
        <w:sz w:val="16"/>
        <w:szCs w:val="16"/>
      </w:rP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8</w:t>
    </w:r>
    <w:r>
      <w:rPr>
        <w:b/>
        <w:bCs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666666"/>
        <w:sz w:val="16"/>
        <w:szCs w:val="16"/>
      </w:rPr>
      <w:t>CCI – Mandatory Measurements &amp; Timing (from CEI 0-16 Annex O)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666666"/>
        <w:sz w:val="16"/>
        <w:szCs w:val="16"/>
      </w:rPr>
      <w:t>CCI – Mandatory Measurements &amp; Timing (from CEI 0-16 Annex O)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it-IT" w:eastAsia="zh-CN" w:bidi="hi-IN"/>
    </w:rPr>
  </w:style>
  <w:style w:type="paragraph" w:styleId="Heading1">
    <w:name w:val="heading 1"/>
    <w:basedOn w:val="Titolo"/>
    <w:qFormat/>
    <w:pPr/>
    <w:rPr>
      <w:color w:val="2E74B5"/>
      <w:sz w:val="32"/>
      <w:szCs w:val="32"/>
    </w:rPr>
  </w:style>
  <w:style w:type="paragraph" w:styleId="Heading2">
    <w:name w:val="heading 2"/>
    <w:basedOn w:val="Titolo"/>
    <w:qFormat/>
    <w:pPr/>
    <w:rPr>
      <w:color w:val="2E74B5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1"/>
      <w:szCs w:val="21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Intestazioneepidipagina"/>
    <w:pPr/>
    <w:rPr/>
  </w:style>
  <w:style w:type="paragraph" w:styleId="Footer">
    <w:name w:val="footer"/>
    <w:basedOn w:val="Intestazioneepidipagina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2304</Words>
  <Characters>14116</Characters>
  <CharactersWithSpaces>16107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2026-07-31T12:35:34Z</dcterms:created>
  <dc:creator>Un-named</dc:creator>
  <dc:description/>
  <dc:language>it-IT</dc:language>
  <cp:lastModifiedBy/>
  <dcterms:modified xsi:type="dcterms:W3CDTF">2026-07-31T15:18:34Z</dcterms:modified>
  <cp:revision>2</cp:revision>
  <dc:subject/>
  <dc:title/>
</cp:coreProperties>
</file>