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tg500-deliverables-overview"/>
    <w:p>
      <w:pPr>
        <w:pStyle w:val="Heading1"/>
      </w:pPr>
      <w:r>
        <w:t xml:space="preserve">TG500 Deliverables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</w:pPr>
            <w:r>
              <w:t xml:space="preserve">TG500-DELIV-00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Tespro Electronics Co., Ltd.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Tespro TG500 Industrial Gateway (MediaTek MT7987A / TG-500 platform)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baseline</w:t>
            </w:r>
          </w:p>
        </w:tc>
        <w:tc>
          <w:tcPr/>
          <w:p>
            <w:pPr>
              <w:pStyle w:val="Compact"/>
            </w:pPr>
            <w:r>
              <w:t xml:space="preserve">TesproOS 32-2.x (based on OpenWrt 25.12 branch, Linux kernel 6.12.y, gcc 14.3.0 / musl)</w:t>
            </w:r>
          </w:p>
        </w:tc>
      </w:tr>
    </w:tbl>
    <w:p>
      <w:pPr>
        <w:pStyle w:val="BodyText"/>
      </w:pPr>
      <w:r>
        <w:t xml:space="preserve">This package addresses the four items of your review checklist (Item 7 Firmware image identity,</w:t>
      </w:r>
      <w:r>
        <w:t xml:space="preserve"> </w:t>
      </w:r>
      <w:r>
        <w:t xml:space="preserve">Item 8 IEC 61850 application coexistence, Item 9 IDevID, Item 4 Secure Boot). Document index below.</w:t>
      </w:r>
    </w:p>
    <w:bookmarkStart w:id="9" w:name="document-index"/>
    <w:p>
      <w:pPr>
        <w:pStyle w:val="Heading2"/>
      </w:pPr>
      <w:r>
        <w:t xml:space="preserve">1. Document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Review 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01-1</w:t>
            </w:r>
          </w:p>
        </w:tc>
        <w:tc>
          <w:tcPr/>
          <w:p>
            <w:pPr>
              <w:pStyle w:val="Compact"/>
            </w:pPr>
            <w:r>
              <w:t xml:space="preserve">TG500-Firmware-Image-Identity-and-Version-Lock</w:t>
            </w:r>
          </w:p>
        </w:tc>
        <w:tc>
          <w:tcPr/>
          <w:p>
            <w:pPr>
              <w:pStyle w:val="Compact"/>
            </w:pPr>
            <w:r>
              <w:t xml:space="preserve">Item 7-①</w:t>
            </w:r>
          </w:p>
        </w:tc>
        <w:tc>
          <w:tcPr/>
          <w:p>
            <w:pPr>
              <w:pStyle w:val="Compact"/>
            </w:pPr>
            <w:r>
              <w:t xml:space="preserve">Formal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01-2</w:t>
            </w:r>
          </w:p>
        </w:tc>
        <w:tc>
          <w:tcPr/>
          <w:p>
            <w:pPr>
              <w:pStyle w:val="Compact"/>
            </w:pPr>
            <w:r>
              <w:t xml:space="preserve">TG500-SDK-Version-Matching</w:t>
            </w:r>
          </w:p>
        </w:tc>
        <w:tc>
          <w:tcPr/>
          <w:p>
            <w:pPr>
              <w:pStyle w:val="Compact"/>
            </w:pPr>
            <w:r>
              <w:t xml:space="preserve">Item 7-②</w:t>
            </w:r>
          </w:p>
        </w:tc>
        <w:tc>
          <w:tcPr/>
          <w:p>
            <w:pPr>
              <w:pStyle w:val="Compact"/>
            </w:pPr>
            <w:r>
              <w:t xml:space="preserve">Formal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01-3</w:t>
            </w:r>
          </w:p>
        </w:tc>
        <w:tc>
          <w:tcPr/>
          <w:p>
            <w:pPr>
              <w:pStyle w:val="Compact"/>
            </w:pPr>
            <w:r>
              <w:t xml:space="preserve">TG500-ABI-Compatibility-Declaration-Letter</w:t>
            </w:r>
          </w:p>
        </w:tc>
        <w:tc>
          <w:tcPr/>
          <w:p>
            <w:pPr>
              <w:pStyle w:val="Compact"/>
            </w:pPr>
            <w:r>
              <w:t xml:space="preserve">Item 7-③</w:t>
            </w:r>
          </w:p>
        </w:tc>
        <w:tc>
          <w:tcPr/>
          <w:p>
            <w:pPr>
              <w:pStyle w:val="Compact"/>
            </w:pPr>
            <w:r>
              <w:t xml:space="preserve">Signed letter (effective upon signature &amp; seal)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02-1</w:t>
            </w:r>
          </w:p>
        </w:tc>
        <w:tc>
          <w:tcPr/>
          <w:p>
            <w:pPr>
              <w:pStyle w:val="Compact"/>
            </w:pPr>
            <w:r>
              <w:t xml:space="preserve">TG500-IEC61850-Coexistence-Written-Policy</w:t>
            </w:r>
          </w:p>
        </w:tc>
        <w:tc>
          <w:tcPr/>
          <w:p>
            <w:pPr>
              <w:pStyle w:val="Compact"/>
            </w:pPr>
            <w:r>
              <w:t xml:space="preserve">Item 8-①②</w:t>
            </w:r>
          </w:p>
        </w:tc>
        <w:tc>
          <w:tcPr/>
          <w:p>
            <w:pPr>
              <w:pStyle w:val="Compact"/>
            </w:pPr>
            <w:r>
              <w:t xml:space="preserve">Formal document (incl. port-management logic spec)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02-2</w:t>
            </w:r>
          </w:p>
        </w:tc>
        <w:tc>
          <w:tcPr/>
          <w:p>
            <w:pPr>
              <w:pStyle w:val="Compact"/>
            </w:pPr>
            <w:r>
              <w:t xml:space="preserve">TG500-SKU-Software-Package-List</w:t>
            </w:r>
          </w:p>
        </w:tc>
        <w:tc>
          <w:tcPr/>
          <w:p>
            <w:pPr>
              <w:pStyle w:val="Compact"/>
            </w:pPr>
            <w:r>
              <w:t xml:space="preserve">Item 8-③</w:t>
            </w:r>
          </w:p>
        </w:tc>
        <w:tc>
          <w:tcPr/>
          <w:p>
            <w:pPr>
              <w:pStyle w:val="Compact"/>
            </w:pPr>
            <w:r>
              <w:t xml:space="preserve">Formal document (full list per build manifest/SBOM)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03-1</w:t>
            </w:r>
          </w:p>
        </w:tc>
        <w:tc>
          <w:tcPr/>
          <w:p>
            <w:pPr>
              <w:pStyle w:val="Compact"/>
            </w:pPr>
            <w:r>
              <w:t xml:space="preserve">TG500-TPM-IDevID-Provisioning-Statement</w:t>
            </w:r>
          </w:p>
        </w:tc>
        <w:tc>
          <w:tcPr/>
          <w:p>
            <w:pPr>
              <w:pStyle w:val="Compact"/>
            </w:pPr>
            <w:r>
              <w:t xml:space="preserve">Item 9-①</w:t>
            </w:r>
          </w:p>
        </w:tc>
        <w:tc>
          <w:tcPr/>
          <w:p>
            <w:pPr>
              <w:pStyle w:val="Compact"/>
            </w:pPr>
            <w:r>
              <w:t xml:space="preserve">Formal document (effective upon signature &amp; seal)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03-2</w:t>
            </w:r>
          </w:p>
        </w:tc>
        <w:tc>
          <w:tcPr/>
          <w:p>
            <w:pPr>
              <w:pStyle w:val="Compact"/>
            </w:pPr>
            <w:r>
              <w:t xml:space="preserve">TG500-IDevID-Enrollment-Procedure</w:t>
            </w:r>
          </w:p>
        </w:tc>
        <w:tc>
          <w:tcPr/>
          <w:p>
            <w:pPr>
              <w:pStyle w:val="Compact"/>
            </w:pPr>
            <w:r>
              <w:t xml:space="preserve">Item 9-②</w:t>
            </w:r>
          </w:p>
        </w:tc>
        <w:tc>
          <w:tcPr/>
          <w:p>
            <w:pPr>
              <w:pStyle w:val="Compact"/>
            </w:pPr>
            <w:r>
              <w:t xml:space="preserve">Formal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04-1</w:t>
            </w:r>
          </w:p>
        </w:tc>
        <w:tc>
          <w:tcPr/>
          <w:p>
            <w:pPr>
              <w:pStyle w:val="Compact"/>
            </w:pPr>
            <w:r>
              <w:t xml:space="preserve">TG500-Secure-Boot-Enablement-Guide</w:t>
            </w:r>
          </w:p>
        </w:tc>
        <w:tc>
          <w:tcPr/>
          <w:p>
            <w:pPr>
              <w:pStyle w:val="Compact"/>
            </w:pPr>
            <w:r>
              <w:t xml:space="preserve">Item 4-①</w:t>
            </w:r>
          </w:p>
        </w:tc>
        <w:tc>
          <w:tcPr/>
          <w:p>
            <w:pPr>
              <w:pStyle w:val="Compact"/>
            </w:pPr>
            <w:r>
              <w:t xml:space="preserve">Formal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04-2</w:t>
            </w:r>
          </w:p>
        </w:tc>
        <w:tc>
          <w:tcPr/>
          <w:p>
            <w:pPr>
              <w:pStyle w:val="Compact"/>
            </w:pPr>
            <w:r>
              <w:t xml:space="preserve">TG500-Signed-Image-Flow</w:t>
            </w:r>
          </w:p>
        </w:tc>
        <w:tc>
          <w:tcPr/>
          <w:p>
            <w:pPr>
              <w:pStyle w:val="Compact"/>
            </w:pPr>
            <w:r>
              <w:t xml:space="preserve">Item 4-②</w:t>
            </w:r>
          </w:p>
        </w:tc>
        <w:tc>
          <w:tcPr/>
          <w:p>
            <w:pPr>
              <w:pStyle w:val="Compact"/>
            </w:pPr>
            <w:r>
              <w:t xml:space="preserve">Formal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04-3</w:t>
            </w:r>
          </w:p>
        </w:tc>
        <w:tc>
          <w:tcPr/>
          <w:p>
            <w:pPr>
              <w:pStyle w:val="Compact"/>
            </w:pPr>
            <w:r>
              <w:t xml:space="preserve">TG500-Fuse-based-Secure-Boot-Policy-and-HAB-Equivalence</w:t>
            </w:r>
          </w:p>
        </w:tc>
        <w:tc>
          <w:tcPr/>
          <w:p>
            <w:pPr>
              <w:pStyle w:val="Compact"/>
            </w:pPr>
            <w:r>
              <w:t xml:space="preserve">Item 4-③</w:t>
            </w:r>
          </w:p>
        </w:tc>
        <w:tc>
          <w:tcPr/>
          <w:p>
            <w:pPr>
              <w:pStyle w:val="Compact"/>
            </w:pPr>
            <w:r>
              <w:t xml:space="preserve">Formal document</w:t>
            </w:r>
          </w:p>
        </w:tc>
      </w:tr>
    </w:tbl>
    <w:bookmarkEnd w:id="9"/>
    <w:bookmarkStart w:id="10" w:name="X27aaad82caa63394f44d2b9e15a95dbfc6a8d9c"/>
    <w:p>
      <w:pPr>
        <w:pStyle w:val="Heading2"/>
      </w:pPr>
      <w:r>
        <w:t xml:space="preserve">2. Attachments Delivered with Each Firmware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Attachment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tesproos-&lt;version&gt;-&lt;revision&gt;-tg500-mediatek-filogic-tespro_tg500-squashfs-sysupgrade.itb</w:t>
            </w:r>
            <w:r>
              <w:t xml:space="preserve"> </w:t>
            </w:r>
            <w:r>
              <w:t xml:space="preserve">(incl. recovery image)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sha256sums</w:t>
            </w:r>
          </w:p>
        </w:tc>
        <w:tc>
          <w:tcPr/>
          <w:p>
            <w:pPr>
              <w:pStyle w:val="Compact"/>
            </w:pPr>
            <w:r>
              <w:t xml:space="preserve">Checksums of all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&lt;image&gt;.manifest</w:t>
            </w:r>
          </w:p>
        </w:tc>
        <w:tc>
          <w:tcPr/>
          <w:p>
            <w:pPr>
              <w:pStyle w:val="Compact"/>
            </w:pPr>
            <w:r>
              <w:t xml:space="preserve">Full package list of the image (name + version)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&lt;image&gt;.bom.cdx.json</w:t>
            </w:r>
          </w:p>
        </w:tc>
        <w:tc>
          <w:tcPr/>
          <w:p>
            <w:pPr>
              <w:pStyle w:val="Compact"/>
            </w:pPr>
            <w:r>
              <w:t xml:space="preserve">SBOM (CycloneDX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config.buildinfo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feeds.buildinfo</w:t>
            </w:r>
          </w:p>
        </w:tc>
        <w:tc>
          <w:tcPr/>
          <w:p>
            <w:pPr>
              <w:pStyle w:val="Compact"/>
            </w:pPr>
            <w:r>
              <w:t xml:space="preserve">Build configuration and feeds revisions (traceability)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 package</w:t>
            </w:r>
          </w:p>
        </w:tc>
        <w:tc>
          <w:tcPr/>
          <w:p>
            <w:pPr>
              <w:pStyle w:val="Compact"/>
            </w:pPr>
            <w:r>
              <w:t xml:space="preserve">Cross-development kit built from the same commit as the firmware (see 01-2)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 ABI declaration letter</w:t>
            </w:r>
          </w:p>
        </w:tc>
        <w:tc>
          <w:tcPr/>
          <w:p>
            <w:pPr>
              <w:pStyle w:val="Compact"/>
            </w:pPr>
            <w:r>
              <w:t xml:space="preserve">PDF scan (company seal)</w:t>
            </w:r>
          </w:p>
        </w:tc>
      </w:tr>
    </w:tbl>
    <w:bookmarkEnd w:id="10"/>
    <w:bookmarkStart w:id="11" w:name="conventions"/>
    <w:p>
      <w:pPr>
        <w:pStyle w:val="Heading2"/>
      </w:pPr>
      <w:r>
        <w:t xml:space="preserve">3. Conventions</w:t>
      </w:r>
    </w:p>
    <w:p>
      <w:pPr>
        <w:pStyle w:val="Compact"/>
        <w:numPr>
          <w:ilvl w:val="0"/>
          <w:numId w:val="1001"/>
        </w:numPr>
      </w:pPr>
      <w:r>
        <w:t xml:space="preserve">All documents are provided in Markdown and Word (.docx); the Word version is the delivery baseline.</w:t>
      </w:r>
    </w:p>
    <w:p>
      <w:pPr>
        <w:pStyle w:val="Compact"/>
        <w:numPr>
          <w:ilvl w:val="0"/>
          <w:numId w:val="1001"/>
        </w:numPr>
      </w:pPr>
      <w:r>
        <w:t xml:space="preserve">Documents marked v0.1 are drafts; the released version will fill in version numbers/dates/signatures. 〈〉 denotes placeholders to be filled at release.</w:t>
      </w:r>
    </w:p>
    <w:p>
      <w:pPr>
        <w:pStyle w:val="Compact"/>
        <w:numPr>
          <w:ilvl w:val="0"/>
          <w:numId w:val="1001"/>
        </w:numPr>
      </w:pPr>
      <w:r>
        <w:t xml:space="preserve">Version commitments (OpenWrt 25.12 baseline freeze, package list freeze) are governed by 01-1 and the ABI Declaration Letter.</w:t>
      </w:r>
    </w:p>
    <w:p>
      <w:pPr>
        <w:pStyle w:val="Compact"/>
        <w:numPr>
          <w:ilvl w:val="0"/>
          <w:numId w:val="1001"/>
        </w:numPr>
      </w:pPr>
      <w:r>
        <w:t xml:space="preserve">For questions or additional audit material, please contact Tespro technical support.</w:t>
      </w:r>
    </w:p>
    <w:bookmarkEnd w:id="11"/>
    <w:bookmarkStart w:id="12" w:name="contact"/>
    <w:p>
      <w:pPr>
        <w:pStyle w:val="Heading2"/>
      </w:pPr>
      <w:r>
        <w:t xml:space="preserve">4. Contact</w:t>
      </w:r>
    </w:p>
    <w:p>
      <w:pPr>
        <w:pStyle w:val="Compact"/>
        <w:numPr>
          <w:ilvl w:val="0"/>
          <w:numId w:val="1002"/>
        </w:numPr>
      </w:pPr>
      <w:r>
        <w:t xml:space="preserve">Company: Tespro Electronics Co., Ltd. (Zhuhai Tespro Electronics Technology Co., Ltd.)</w:t>
      </w:r>
    </w:p>
    <w:p>
      <w:pPr>
        <w:pStyle w:val="Compact"/>
        <w:numPr>
          <w:ilvl w:val="0"/>
          <w:numId w:val="1002"/>
        </w:numPr>
      </w:pPr>
      <w:r>
        <w:t xml:space="preserve">Web: www.tespro.com Email: Info@tespro.com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2026-10-21T10:30:06Z</dcterms:created>
  <dcterms:modified xsi:type="dcterms:W3CDTF">2026-10-21T10:30:06Z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