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tg500-sku-software-package-list"/>
    <w:p>
      <w:pPr>
        <w:pStyle w:val="Heading1"/>
      </w:pPr>
      <w:r>
        <w:t xml:space="preserve">TG500 SKU Software Package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v0.1 (draft; the build manifest/SBOM is authoritative for formal releases)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Item 8-③: SKU software package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Authoritative source</w:t>
            </w:r>
          </w:p>
        </w:tc>
        <w:tc>
          <w:tcPr/>
          <w:p>
            <w:pPr>
              <w:pStyle w:val="Compact"/>
            </w:pPr>
            <w:r>
              <w:t xml:space="preserve">TG500 SKU build configuration (delivered as</w:t>
            </w:r>
            <w:r>
              <w:t xml:space="preserve"> </w:t>
            </w:r>
            <w:r>
              <w:rPr>
                <w:rStyle w:val="VerbatimChar"/>
              </w:rPr>
              <w:t xml:space="preserve">config.buildinfo</w:t>
            </w:r>
            <w:r>
              <w:t xml:space="preserve"> </w:t>
            </w:r>
            <w:r>
              <w:t xml:space="preserve">with each firmware)</w:t>
            </w:r>
          </w:p>
        </w:tc>
      </w:tr>
    </w:tbl>
    <w:bookmarkStart w:id="9" w:name="Xe0b4a9d8b5adf1d585ab68978b53ec02ec2bea2"/>
    <w:p>
      <w:pPr>
        <w:pStyle w:val="Heading2"/>
      </w:pPr>
      <w:r>
        <w:t xml:space="preserve">1. IEC 61850 Related Packages (governed by the Coexistence Policy)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Pre-installed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libiec61850</w:t>
            </w:r>
          </w:p>
        </w:tc>
        <w:tc>
          <w:tcPr/>
          <w:p>
            <w:pPr>
              <w:pStyle w:val="Compact"/>
            </w:pPr>
            <w:r>
              <w:t xml:space="preserve">1.6.2-1</w:t>
            </w:r>
          </w:p>
        </w:tc>
        <w:tc>
          <w:tcPr/>
          <w:p>
            <w:pPr>
              <w:pStyle w:val="Compact"/>
            </w:pPr>
            <w:r>
              <w:t xml:space="preserve">No (build-only ipk)</w:t>
            </w:r>
          </w:p>
        </w:tc>
        <w:tc>
          <w:tcPr/>
          <w:p>
            <w:pPr>
              <w:pStyle w:val="Compact"/>
            </w:pPr>
            <w:r>
              <w:t xml:space="preserve">IEC 61850 protocol stack library (MMS client capability)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iec61850-mmsd</w:t>
            </w:r>
          </w:p>
        </w:tc>
        <w:tc>
          <w:tcPr/>
          <w:p>
            <w:pPr>
              <w:pStyle w:val="Compact"/>
            </w:pPr>
            <w:r>
              <w:t xml:space="preserve">1.0.0-4</w:t>
            </w:r>
          </w:p>
        </w:tc>
        <w:tc>
          <w:tcPr/>
          <w:p>
            <w:pPr>
              <w:pStyle w:val="Compact"/>
            </w:pPr>
            <w:r>
              <w:t xml:space="preserve">No (build-only ipk)</w:t>
            </w:r>
          </w:p>
        </w:tc>
        <w:tc>
          <w:tcPr/>
          <w:p>
            <w:pPr>
              <w:pStyle w:val="Compact"/>
            </w:pPr>
            <w:r>
              <w:t xml:space="preserve">MMS session daemon (sole holder of libiec61850; serves iec61850d via ubus/unix socket)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iec61850-proto-tespro-combined</w:t>
            </w:r>
          </w:p>
        </w:tc>
        <w:tc>
          <w:tcPr/>
          <w:p>
            <w:pPr>
              <w:pStyle w:val="Compact"/>
            </w:pPr>
            <w:r>
              <w:t xml:space="preserve">1.0.0-7</w:t>
            </w:r>
          </w:p>
        </w:tc>
        <w:tc>
          <w:tcPr/>
          <w:p>
            <w:pPr>
              <w:pStyle w:val="Compact"/>
            </w:pPr>
            <w:r>
              <w:t xml:space="preserve">No (build-only ipk)</w:t>
            </w:r>
          </w:p>
        </w:tc>
        <w:tc>
          <w:tcPr/>
          <w:p>
            <w:pPr>
              <w:pStyle w:val="Compact"/>
            </w:pPr>
            <w:r>
              <w:t xml:space="preserve">Main service process</w:t>
            </w:r>
            <w:r>
              <w:t xml:space="preserve"> </w:t>
            </w:r>
            <w:r>
              <w:rPr>
                <w:rStyle w:val="VerbatimChar"/>
              </w:rPr>
              <w:t xml:space="preserve">iec61850d</w:t>
            </w:r>
            <w:r>
              <w:t xml:space="preserve">; provides the</w:t>
            </w:r>
            <w:r>
              <w:t xml:space="preserve"> </w:t>
            </w:r>
            <w:r>
              <w:rPr>
                <w:rStyle w:val="VerbatimChar"/>
              </w:rPr>
              <w:t xml:space="preserve">iec61850service</w:t>
            </w:r>
            <w:r>
              <w:t xml:space="preserve"> </w:t>
            </w:r>
            <w:r>
              <w:t xml:space="preserve">(procd), LuCI UI, UCI config</w:t>
            </w:r>
            <w:r>
              <w:t xml:space="preserve"> </w:t>
            </w:r>
            <w:r>
              <w:rPr>
                <w:rStyle w:val="VerbatimChar"/>
              </w:rPr>
              <w:t xml:space="preserve">/etc/config/iec61850service</w:t>
            </w:r>
          </w:p>
        </w:tc>
      </w:tr>
    </w:tbl>
    <w:p>
      <w:pPr>
        <w:pStyle w:val="BodyText"/>
      </w:pPr>
      <w:r>
        <w:t xml:space="preserve">Note: the three packages are</w:t>
      </w:r>
      <w:r>
        <w:t xml:space="preserve"> </w:t>
      </w:r>
      <w:r>
        <w:rPr>
          <w:b/>
          <w:bCs/>
        </w:rPr>
        <w:t xml:space="preserve">not pre-installed</w:t>
      </w:r>
      <w:r>
        <w:t xml:space="preserve"> </w:t>
      </w:r>
      <w:r>
        <w:t xml:space="preserve">in factory images (installed on demand via opkg),</w:t>
      </w:r>
      <w:r>
        <w:t xml:space="preserve"> </w:t>
      </w:r>
      <w:r>
        <w:t xml:space="preserve">hence zero conflict with HiTEKS ccli in factory state; once installed and enabled they are governed</w:t>
      </w:r>
      <w:r>
        <w:t xml:space="preserve"> </w:t>
      </w:r>
      <w:r>
        <w:t xml:space="preserve">by rules R1–R7 of the Coexistence Written Policy.</w:t>
      </w:r>
    </w:p>
    <w:bookmarkEnd w:id="9"/>
    <w:bookmarkStart w:id="10" w:name="X7cbe7e8fe6ad62d888a6b55ce373f07f50e4578"/>
    <w:p>
      <w:pPr>
        <w:pStyle w:val="Heading2"/>
      </w:pPr>
      <w:r>
        <w:t xml:space="preserve">2. TPM / Identity Security Related Packages (governed by Item 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Pre-installed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kmod-tpm</w:t>
            </w:r>
          </w:p>
        </w:tc>
        <w:tc>
          <w:tcPr/>
          <w:p>
            <w:pPr>
              <w:pStyle w:val="Compact"/>
            </w:pPr>
            <w:r>
              <w:t xml:space="preserve">same as kernel 6.12.y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TPM core driver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kmod-tpm-tis-i2c</w:t>
            </w:r>
          </w:p>
        </w:tc>
        <w:tc>
          <w:tcPr/>
          <w:p>
            <w:pPr>
              <w:pStyle w:val="Compact"/>
            </w:pPr>
            <w:r>
              <w:t xml:space="preserve">same as kernel 6.12.y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SLB9673 (I2C</w:t>
            </w:r>
            <w:r>
              <w:t xml:space="preserve"> </w:t>
            </w:r>
            <w:r>
              <w:t xml:space="preserve">@0x2e</w:t>
            </w:r>
            <w:r>
              <w:t xml:space="preserve">) driver; creates /dev/tpm0, /dev/tpmrm0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tpm2-tss</w:t>
            </w:r>
          </w:p>
        </w:tc>
        <w:tc>
          <w:tcPr/>
          <w:p>
            <w:pPr>
              <w:pStyle w:val="Compact"/>
            </w:pPr>
            <w:r>
              <w:t xml:space="preserve">4.2.0-1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TCG TSS 2.0 software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tpm2-tools</w:t>
            </w:r>
          </w:p>
        </w:tc>
        <w:tc>
          <w:tcPr/>
          <w:p>
            <w:pPr>
              <w:pStyle w:val="Compact"/>
            </w:pPr>
            <w:r>
              <w:t xml:space="preserve">5.8-1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tpm2_* CLI toolset (keys/signing/NV/EK/IDevID enrollment)</w:t>
            </w:r>
          </w:p>
        </w:tc>
      </w:tr>
    </w:tbl>
    <w:bookmarkEnd w:id="10"/>
    <w:bookmarkStart w:id="11" w:name="authoritative-form-of-the-full-list"/>
    <w:p>
      <w:pPr>
        <w:pStyle w:val="Heading2"/>
      </w:pPr>
      <w:r>
        <w:t xml:space="preserve">3. Authoritative Form of the Full 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Package list</w:t>
      </w:r>
      <w:r>
        <w:t xml:space="preserve">: every build auto-generates</w:t>
      </w:r>
      <w:r>
        <w:t xml:space="preserve"> </w:t>
      </w:r>
      <w:r>
        <w:rPr>
          <w:rStyle w:val="VerbatimChar"/>
        </w:rPr>
        <w:t xml:space="preserve">&lt;image&gt;.manifest</w:t>
      </w:r>
      <w:r>
        <w:t xml:space="preserve"> </w:t>
      </w:r>
      <w:r>
        <w:t xml:space="preserve">(all ipks inside the image with</w:t>
      </w:r>
      <w:r>
        <w:t xml:space="preserve"> </w:t>
      </w:r>
      <w:r>
        <w:t xml:space="preserve">versions, dependency-expanded), located beside the image (</w:t>
      </w:r>
      <w:r>
        <w:rPr>
          <w:rStyle w:val="VerbatimChar"/>
        </w:rPr>
        <w:t xml:space="preserve">bin/targets/mediatek/filogic/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SBOM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&lt;image&gt;.bom.cdx.json</w:t>
      </w:r>
      <w:r>
        <w:t xml:space="preserve"> </w:t>
      </w:r>
      <w:r>
        <w:t xml:space="preserve">(CycloneDX) in the same directory, for supply-chain security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traceability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config.buildinfo</w:t>
      </w:r>
      <w:r>
        <w:t xml:space="preserve"> </w:t>
      </w:r>
      <w:r>
        <w:t xml:space="preserve">(full .config),</w:t>
      </w:r>
      <w:r>
        <w:t xml:space="preserve"> </w:t>
      </w:r>
      <w:r>
        <w:rPr>
          <w:rStyle w:val="VerbatimChar"/>
        </w:rPr>
        <w:t xml:space="preserve">feeds.buildinfo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sha256sums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Tables 1/2 above are the summary of policy-governed packages; the manifest is authoritative in case</w:t>
      </w:r>
      <w:r>
        <w:t xml:space="preserve"> </w:t>
      </w:r>
      <w:r>
        <w:t xml:space="preserve">of any discrepancy.</w:t>
      </w:r>
    </w:p>
    <w:bookmarkEnd w:id="11"/>
    <w:bookmarkStart w:id="12" w:name="version-freeze-statement"/>
    <w:p>
      <w:pPr>
        <w:pStyle w:val="Heading2"/>
      </w:pPr>
      <w:r>
        <w:t xml:space="preserve">4. Version Freeze Statement</w:t>
      </w:r>
    </w:p>
    <w:p>
      <w:pPr>
        <w:pStyle w:val="FirstParagraph"/>
      </w:pPr>
      <w:r>
        <w:t xml:space="preserve">The versions above are frozen with the release branch (OpenWrt 25.12 base / TesproOS 32-2.x).</w:t>
      </w:r>
      <w:r>
        <w:t xml:space="preserve"> </w:t>
      </w:r>
      <w:r>
        <w:t xml:space="preserve">Patch releases (R1, R2, …) may bump these packages only for security/defect fixes, and every bump is</w:t>
      </w:r>
      <w:r>
        <w:t xml:space="preserve"> </w:t>
      </w:r>
      <w:r>
        <w:t xml:space="preserve">recorded in the Release Register (see Firmware Image Identity document, §4).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2026-10-21T10:30:07Z</dcterms:created>
  <dcterms:modified xsi:type="dcterms:W3CDTF">2026-10-21T10:30:07Z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