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B44F73"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w:t>
      </w:r>
      <w:r w:rsidR="00360F54">
        <w:t xml:space="preserve">providing that </w:t>
      </w:r>
      <w:r>
        <w:t xml:space="preserve">separate copies of data </w:t>
      </w:r>
      <w:r w:rsidR="00360F54">
        <w:t xml:space="preserve">are kept </w:t>
      </w:r>
      <w:r>
        <w:t xml:space="preserve">and </w:t>
      </w:r>
      <w:r w:rsidR="00360F54">
        <w:t xml:space="preserve">that these copies are worked on </w:t>
      </w:r>
      <w:r>
        <w:t>independently</w:t>
      </w:r>
      <w:r w:rsidR="00360F54">
        <w:t xml:space="preserve">. </w:t>
      </w:r>
      <w:r w:rsidR="003E7012">
        <w:t>V</w:t>
      </w:r>
      <w:r>
        <w:t xml:space="preserve">isibility of change is the source of </w:t>
      </w:r>
      <w:r w:rsidR="00360F54">
        <w:t xml:space="preserve">the most </w:t>
      </w:r>
      <w:r>
        <w:t>complexity</w:t>
      </w:r>
      <w:r w:rsidR="00360F54">
        <w:t xml:space="preserve"> in concurrent programming</w:t>
      </w:r>
      <w:r>
        <w:t>.</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w:t>
      </w:r>
      <w:proofErr w:type="gramStart"/>
      <w:r w:rsidR="00EE4E0A">
        <w:t>house-keeping</w:t>
      </w:r>
      <w:proofErr w:type="gramEnd"/>
      <w:r w:rsidR="00EE4E0A">
        <w:t xml:space="preserve">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bles do not sure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E90ED6">
        <w:t xml:space="preserve">The lack of </w:t>
      </w:r>
      <w:r w:rsidR="0062781C">
        <w:t xml:space="preserve">a consistent pattern in memory, and so the loss of the ability of the system to pre-fetch cache-lines, has a dramatic impact on cache-coherence, and so performance, the resulting memory access </w:t>
      </w:r>
      <w:r w:rsidR="003C4008">
        <w:t>can be more than two orders of magnitude less efficient.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proofErr w:type="gramStart"/>
      <w:r w:rsidR="00BF4082">
        <w:t>is</w:t>
      </w:r>
      <w:proofErr w:type="gramEnd"/>
      <w:r w:rsidR="00BF4082">
        <w:t xml:space="preserve">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B44F73"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8.3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B44F73" w:rsidP="007752B0">
      <w:pPr>
        <w:rPr>
          <w:b/>
        </w:rPr>
      </w:pPr>
      <w:r w:rsidRPr="00B44F73">
        <w:rPr>
          <w:b/>
        </w:rPr>
      </w:r>
      <w:r w:rsidRPr="00B44F73">
        <w:rPr>
          <w:b/>
        </w:rPr>
        <w:pict>
          <v:group id="_x0000_s1082" style="width:451.3pt;height:36.85pt;mso-position-horizontal-relative:char;mso-position-vertical-relative:line" coordorigin="1440,3306" coordsize="9026,737" editas="canvas">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E90ED6" w:rsidRPr="00EA0291" w:rsidRDefault="00E90ED6"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E90ED6" w:rsidRPr="00EA0291" w:rsidRDefault="00E90ED6" w:rsidP="00F24FA9">
                    <w:pPr>
                      <w:jc w:val="center"/>
                      <w:rPr>
                        <w:szCs w:val="20"/>
                      </w:rPr>
                    </w:pPr>
                    <w:r w:rsidRPr="00EA0291">
                      <w:rPr>
                        <w:szCs w:val="20"/>
                      </w:rPr>
                      <w:t>C1</w:t>
                    </w:r>
                  </w:p>
                </w:txbxContent>
              </v:textbox>
            </v:oval>
            <v:shapetype id="_x0000_t32" coordsize="21600,21600" o:spt="32" o:oned="t" path="m0,0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B44F73">
      <w:pPr>
        <w:rPr>
          <w:b/>
        </w:rPr>
      </w:pPr>
      <w:r w:rsidRPr="00B44F73">
        <w:rPr>
          <w:b/>
        </w:rPr>
      </w:r>
      <w:r w:rsidRPr="00B44F73">
        <w:rPr>
          <w:b/>
        </w:rPr>
        <w:pict>
          <v:group id="_x0000_s1087" style="width:451.3pt;height:37.7pt;mso-position-horizontal-relative:char;mso-position-vertical-relative:line" coordorigin="1440,3306" coordsize="9026,754" editas="canvas">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E90ED6" w:rsidRPr="00EA0291" w:rsidRDefault="00E90ED6" w:rsidP="00F24FA9">
                    <w:pPr>
                      <w:jc w:val="center"/>
                      <w:rPr>
                        <w:szCs w:val="20"/>
                      </w:rPr>
                    </w:pPr>
                    <w:r w:rsidRPr="00EA0291">
                      <w:rPr>
                        <w:szCs w:val="20"/>
                      </w:rPr>
                      <w:t>P1</w:t>
                    </w:r>
                  </w:p>
                </w:txbxContent>
              </v:textbox>
            </v:oval>
            <v:oval id="_x0000_s1090" style="position:absolute;left:4245;top:3427;width:1009;height:498">
              <v:textbox>
                <w:txbxContent>
                  <w:p w:rsidR="00E90ED6" w:rsidRPr="00EA0291" w:rsidRDefault="00E90ED6"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E90ED6" w:rsidRPr="00EA0291" w:rsidRDefault="00E90ED6"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E90ED6" w:rsidRPr="00EA0291" w:rsidRDefault="00E90ED6"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B44F73">
      <w:pPr>
        <w:rPr>
          <w:b/>
        </w:rPr>
      </w:pPr>
      <w:r w:rsidRPr="00B44F73">
        <w:rPr>
          <w:b/>
        </w:rPr>
      </w:r>
      <w:r w:rsidRPr="00B44F73">
        <w:rPr>
          <w:b/>
        </w:rPr>
        <w:pict>
          <v:group id="_x0000_s1096" style="width:451.3pt;height:98.05pt;mso-position-horizontal-relative:char;mso-position-vertical-relative:line" coordorigin="1440,3306" coordsize="9026,1961" editas="canvas">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E90ED6" w:rsidRPr="00EA0291" w:rsidRDefault="00E90ED6" w:rsidP="00F24FA9">
                    <w:pPr>
                      <w:jc w:val="center"/>
                      <w:rPr>
                        <w:szCs w:val="20"/>
                      </w:rPr>
                    </w:pPr>
                    <w:r w:rsidRPr="00EA0291">
                      <w:rPr>
                        <w:szCs w:val="20"/>
                      </w:rPr>
                      <w:t>P1</w:t>
                    </w:r>
                  </w:p>
                </w:txbxContent>
              </v:textbox>
            </v:oval>
            <v:oval id="_x0000_s1099" style="position:absolute;left:4245;top:3976;width:1009;height:498">
              <v:textbox>
                <w:txbxContent>
                  <w:p w:rsidR="00E90ED6" w:rsidRPr="00EA0291" w:rsidRDefault="00E90ED6"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E90ED6" w:rsidRPr="00EA0291" w:rsidRDefault="00E90ED6" w:rsidP="00F24FA9">
                    <w:pPr>
                      <w:jc w:val="center"/>
                      <w:rPr>
                        <w:szCs w:val="20"/>
                      </w:rPr>
                    </w:pPr>
                    <w:r>
                      <w:rPr>
                        <w:szCs w:val="20"/>
                      </w:rPr>
                      <w:t>P2</w:t>
                    </w:r>
                  </w:p>
                </w:txbxContent>
              </v:textbox>
            </v:oval>
            <v:oval id="_x0000_s1102" style="position:absolute;left:2315;top:4591;width:1009;height:498">
              <v:textbox>
                <w:txbxContent>
                  <w:p w:rsidR="00E90ED6" w:rsidRPr="00EA0291" w:rsidRDefault="00E90ED6"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B44F73">
      <w:pPr>
        <w:rPr>
          <w:b/>
        </w:rPr>
      </w:pPr>
      <w:r w:rsidRPr="00B44F73">
        <w:rPr>
          <w:b/>
        </w:rPr>
      </w:r>
      <w:r w:rsidRPr="00B44F73">
        <w:rPr>
          <w:b/>
        </w:rPr>
        <w:pict>
          <v:group id="_x0000_s1105" style="width:451.3pt;height:92.8pt;mso-position-horizontal-relative:char;mso-position-vertical-relative:line" coordorigin="1440,3306" coordsize="9026,1856" editas="canvas">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E90ED6" w:rsidRPr="00EA0291" w:rsidRDefault="00E90ED6" w:rsidP="00F24FA9">
                    <w:pPr>
                      <w:jc w:val="center"/>
                      <w:rPr>
                        <w:szCs w:val="20"/>
                      </w:rPr>
                    </w:pPr>
                    <w:r>
                      <w:rPr>
                        <w:szCs w:val="20"/>
                      </w:rPr>
                      <w:t>C2</w:t>
                    </w:r>
                  </w:p>
                </w:txbxContent>
              </v:textbox>
            </v:oval>
            <v:oval id="_x0000_s1111" style="position:absolute;left:4252;top:4591;width:1009;height:498">
              <v:textbox>
                <w:txbxContent>
                  <w:p w:rsidR="00E90ED6" w:rsidRPr="00EA0291" w:rsidRDefault="00E90ED6"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B44F73">
      <w:pPr>
        <w:rPr>
          <w:b/>
        </w:rPr>
      </w:pPr>
      <w:r w:rsidRPr="00B44F73">
        <w:rPr>
          <w:b/>
        </w:rPr>
      </w:r>
      <w:r w:rsidRPr="00B44F73">
        <w:rPr>
          <w:b/>
        </w:rPr>
        <w:pict>
          <v:group id="_x0000_s1114" style="width:451.3pt;height:92.8pt;mso-position-horizontal-relative:char;mso-position-vertical-relative:line" coordorigin="1440,3306" coordsize="9026,1856" editas="canvas">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E90ED6" w:rsidRPr="00EA0291" w:rsidRDefault="00E90ED6" w:rsidP="00F24FA9">
                    <w:pPr>
                      <w:jc w:val="center"/>
                      <w:rPr>
                        <w:szCs w:val="20"/>
                      </w:rPr>
                    </w:pPr>
                    <w:r>
                      <w:rPr>
                        <w:szCs w:val="20"/>
                      </w:rPr>
                      <w:t>C3</w:t>
                    </w:r>
                  </w:p>
                </w:txbxContent>
              </v:textbox>
            </v:oval>
            <v:oval id="_x0000_s1120" style="position:absolute;left:4252;top:4591;width:1009;height:498">
              <v:textbox>
                <w:txbxContent>
                  <w:p w:rsidR="00E90ED6" w:rsidRPr="00EA0291" w:rsidRDefault="00E90ED6"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rPr>
          <w:noProof/>
          <w:lang w:val="en-US"/>
        </w:rPr>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trPr>
          <w:cantSplit/>
        </w:trPr>
        <w:tc>
          <w:tcPr>
            <w:tcW w:w="2802" w:type="dxa"/>
            <w:tcBorders>
              <w:top w:val="single" w:sz="4" w:space="0" w:color="A6A6A6" w:themeColor="background1" w:themeShade="A6"/>
            </w:tcBorders>
          </w:tcPr>
          <w:p w:rsidR="00B60C70" w:rsidRPr="00194E6D" w:rsidRDefault="00B60C70" w:rsidP="00204AFB">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52</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 observations less than</w:t>
            </w:r>
          </w:p>
        </w:tc>
        <w:tc>
          <w:tcPr>
            <w:tcW w:w="2268" w:type="dxa"/>
          </w:tcPr>
          <w:p w:rsidR="00B60C70" w:rsidRPr="001D0505" w:rsidRDefault="00B60C70" w:rsidP="00204AFB">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204AFB">
            <w:pPr>
              <w:spacing w:before="60" w:after="60"/>
              <w:jc w:val="right"/>
              <w:rPr>
                <w:sz w:val="16"/>
                <w:szCs w:val="16"/>
              </w:rPr>
            </w:pPr>
            <w:r>
              <w:rPr>
                <w:sz w:val="16"/>
                <w:szCs w:val="16"/>
              </w:rPr>
              <w:t>128</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99.99% observations less than</w:t>
            </w:r>
          </w:p>
        </w:tc>
        <w:tc>
          <w:tcPr>
            <w:tcW w:w="2268" w:type="dxa"/>
          </w:tcPr>
          <w:p w:rsidR="00B60C70" w:rsidRPr="00AB39EA" w:rsidRDefault="00B60C70" w:rsidP="00204AFB">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204AFB">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ED6" w:rsidRDefault="00E90ED6" w:rsidP="00BE3675">
      <w:pPr>
        <w:spacing w:after="0" w:line="240" w:lineRule="auto"/>
      </w:pPr>
      <w:r>
        <w:separator/>
      </w:r>
    </w:p>
  </w:endnote>
  <w:endnote w:type="continuationSeparator" w:id="0">
    <w:p w:rsidR="00E90ED6" w:rsidRDefault="00E90ED6" w:rsidP="00BE3675">
      <w:pPr>
        <w:spacing w:after="0" w:line="240" w:lineRule="auto"/>
      </w:pPr>
      <w:r>
        <w:continuationSeparator/>
      </w:r>
    </w:p>
  </w:endnote>
  <w:endnote w:id="1">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E90ED6" w:rsidRPr="00984222" w:rsidRDefault="00E90ED6"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E90ED6" w:rsidRDefault="00E90ED6">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B36C76">
        <w:rPr>
          <w:noProof/>
        </w:rPr>
        <w:t>4</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ED6" w:rsidRDefault="00E90ED6" w:rsidP="00BE3675">
      <w:pPr>
        <w:spacing w:after="0" w:line="240" w:lineRule="auto"/>
      </w:pPr>
      <w:r>
        <w:separator/>
      </w:r>
    </w:p>
  </w:footnote>
  <w:footnote w:type="continuationSeparator" w:id="0">
    <w:p w:rsidR="00E90ED6" w:rsidRDefault="00E90ED6" w:rsidP="00BE36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Header"/>
      <w:tabs>
        <w:tab w:val="clear" w:pos="9026"/>
        <w:tab w:val="right" w:pos="9781"/>
      </w:tabs>
    </w:pPr>
    <w:r>
      <w:tab/>
    </w:r>
    <w:r>
      <w:tab/>
    </w:r>
    <w:r>
      <w:rPr>
        <w:noProof/>
        <w:lang w:val="en-US"/>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4AFB"/>
    <w:rsid w:val="002050FC"/>
    <w:rsid w:val="002212AF"/>
    <w:rsid w:val="00231422"/>
    <w:rsid w:val="002438AE"/>
    <w:rsid w:val="002476F7"/>
    <w:rsid w:val="0025321C"/>
    <w:rsid w:val="00263223"/>
    <w:rsid w:val="00264A03"/>
    <w:rsid w:val="002674C0"/>
    <w:rsid w:val="00277CD0"/>
    <w:rsid w:val="0028173B"/>
    <w:rsid w:val="002A26D7"/>
    <w:rsid w:val="002A683F"/>
    <w:rsid w:val="002B73BE"/>
    <w:rsid w:val="002C4BC2"/>
    <w:rsid w:val="002C516E"/>
    <w:rsid w:val="002F3C90"/>
    <w:rsid w:val="002F6647"/>
    <w:rsid w:val="0030153F"/>
    <w:rsid w:val="00302C5E"/>
    <w:rsid w:val="00316BEA"/>
    <w:rsid w:val="0032126E"/>
    <w:rsid w:val="00324FAD"/>
    <w:rsid w:val="00330969"/>
    <w:rsid w:val="003358CD"/>
    <w:rsid w:val="003406C2"/>
    <w:rsid w:val="00340CBB"/>
    <w:rsid w:val="00360F54"/>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03F29"/>
    <w:rsid w:val="0062145B"/>
    <w:rsid w:val="00627213"/>
    <w:rsid w:val="0062781C"/>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36C76"/>
    <w:rsid w:val="00B44F73"/>
    <w:rsid w:val="00B46E46"/>
    <w:rsid w:val="00B52532"/>
    <w:rsid w:val="00B6050A"/>
    <w:rsid w:val="00B60C70"/>
    <w:rsid w:val="00B64E7C"/>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A0291"/>
    <w:rsid w:val="00EA1E4C"/>
    <w:rsid w:val="00EB3566"/>
    <w:rsid w:val="00EB563B"/>
    <w:rsid w:val="00EC053B"/>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2">
          <o:proxy start="" idref="#_x0000_s1108" connectloc="6"/>
          <o:proxy end="" idref="#_x0000_s1110" connectloc="2"/>
        </o:r>
        <o:r id="V:Rule16" type="connector" idref="#_x0000_s1118">
          <o:proxy start="" idref="#_x0000_s1117" connectloc="7"/>
          <o:proxy end="" idref="#_x0000_s1116"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093">
          <o:proxy start="" idref="#_x0000_s1090" connectloc="6"/>
          <o:proxy end="" idref="#_x0000_s1092" connectloc="2"/>
        </o:r>
        <o:r id="V:Rule20" type="connector" idref="#_x0000_s1086">
          <o:proxy start="" idref="#_x0000_s1084" connectloc="6"/>
          <o:proxy end="" idref="#_x0000_s1085" connectloc="2"/>
        </o:r>
        <o:r id="V:Rule21" type="connector" idref="#_x0000_s1122">
          <o:proxy start="" idref="#_x0000_s1120" connectloc="6"/>
          <o:proxy end="" idref="#_x0000_s1119" connectloc="3"/>
        </o:r>
        <o:r id="V:Rule22" type="connector" idref="#_x0000_s1103">
          <o:proxy start="" idref="#_x0000_s1101" connectloc="6"/>
          <o:proxy end="" idref="#_x0000_s1099" connectloc="2"/>
        </o:r>
        <o:r id="V:Rule23" type="connector" idref="#_x0000_s1100">
          <o:proxy start="" idref="#_x0000_s1098" connectloc="6"/>
          <o:proxy end="" idref="#_x0000_s1099" connectloc="1"/>
        </o:r>
        <o:r id="V:Rule24" type="connector" idref="#_x0000_s1113">
          <o:proxy start="" idref="#_x0000_s1108" connectloc="5"/>
          <o:proxy end="" idref="#_x0000_s1111" connectloc="2"/>
        </o:r>
        <o:r id="V:Rule25" type="connector" idref="#_x0000_s1123">
          <o:proxy start="" idref="#_x0000_s1116" connectloc="6"/>
          <o:proxy end="" idref="#_x0000_s1119" connectloc="1"/>
        </o:r>
        <o:r id="V:Rule26" type="connector" idref="#_x0000_s1109">
          <o:proxy start="" idref="#_x0000_s1108" connectloc="7"/>
          <o:proxy end="" idref="#_x0000_s1107" connectloc="2"/>
        </o:r>
        <o:r id="V:Rule27" type="connector" idref="#_x0000_s1121">
          <o:proxy start="" idref="#_x0000_s1117" connectloc="5"/>
          <o:proxy end="" idref="#_x0000_s1120"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disruptor/" TargetMode="External"/><Relationship Id="rId9" Type="http://schemas.openxmlformats.org/officeDocument/2006/relationships/image" Target="media/image1.emf"/><Relationship Id="rId10"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Sheet1!$B$2:$B$24</c:f>
              <c:numCache>
                <c:formatCode>General</c:formatCode>
                <c:ptCount val="23"/>
                <c:pt idx="0">
                  <c:v>0.0</c:v>
                </c:pt>
                <c:pt idx="1">
                  <c:v>0.0</c:v>
                </c:pt>
                <c:pt idx="2">
                  <c:v>0.0</c:v>
                </c:pt>
                <c:pt idx="3">
                  <c:v>0.0</c:v>
                </c:pt>
                <c:pt idx="4">
                  <c:v>381.0</c:v>
                </c:pt>
                <c:pt idx="5">
                  <c:v>4.92118E7</c:v>
                </c:pt>
                <c:pt idx="6">
                  <c:v>746529.0</c:v>
                </c:pt>
                <c:pt idx="7">
                  <c:v>16796.0</c:v>
                </c:pt>
                <c:pt idx="8">
                  <c:v>5810.0</c:v>
                </c:pt>
                <c:pt idx="9">
                  <c:v>4524.0</c:v>
                </c:pt>
                <c:pt idx="10">
                  <c:v>3426.0</c:v>
                </c:pt>
                <c:pt idx="11">
                  <c:v>5042.0</c:v>
                </c:pt>
                <c:pt idx="12">
                  <c:v>2228.0</c:v>
                </c:pt>
                <c:pt idx="13">
                  <c:v>2542.0</c:v>
                </c:pt>
                <c:pt idx="14">
                  <c:v>346.0</c:v>
                </c:pt>
                <c:pt idx="15">
                  <c:v>356.0</c:v>
                </c:pt>
                <c:pt idx="16">
                  <c:v>184.0</c:v>
                </c:pt>
                <c:pt idx="17">
                  <c:v>36.0</c:v>
                </c:pt>
                <c:pt idx="18">
                  <c:v>0.0</c:v>
                </c:pt>
                <c:pt idx="19">
                  <c:v>0.0</c:v>
                </c:pt>
                <c:pt idx="20">
                  <c:v>0.0</c:v>
                </c:pt>
                <c:pt idx="21">
                  <c:v>0.0</c:v>
                </c:pt>
                <c:pt idx="22">
                  <c:v>0.0</c:v>
                </c:pt>
              </c:numCache>
            </c:numRef>
          </c:val>
        </c:ser>
        <c:ser>
          <c:idx val="1"/>
          <c:order val="1"/>
          <c:tx>
            <c:strRef>
              <c:f>Sheet1!$C$1</c:f>
              <c:strCache>
                <c:ptCount val="1"/>
                <c:pt idx="0">
                  <c:v>ArrayBlockingQueue</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Sheet1!$C$2:$C$24</c:f>
              <c:numCache>
                <c:formatCode>General</c:formatCode>
                <c:ptCount val="23"/>
                <c:pt idx="0">
                  <c:v>0.0</c:v>
                </c:pt>
                <c:pt idx="1">
                  <c:v>0.0</c:v>
                </c:pt>
                <c:pt idx="2">
                  <c:v>0.0</c:v>
                </c:pt>
                <c:pt idx="3">
                  <c:v>0.0</c:v>
                </c:pt>
                <c:pt idx="4">
                  <c:v>0.0</c:v>
                </c:pt>
                <c:pt idx="5">
                  <c:v>0.0</c:v>
                </c:pt>
                <c:pt idx="6">
                  <c:v>0.0</c:v>
                </c:pt>
                <c:pt idx="7">
                  <c:v>598.0</c:v>
                </c:pt>
                <c:pt idx="8">
                  <c:v>53523.0</c:v>
                </c:pt>
                <c:pt idx="9">
                  <c:v>2.546588E6</c:v>
                </c:pt>
                <c:pt idx="10">
                  <c:v>1.950471E7</c:v>
                </c:pt>
                <c:pt idx="11">
                  <c:v>2.6362144E7</c:v>
                </c:pt>
                <c:pt idx="12">
                  <c:v>218860.0</c:v>
                </c:pt>
                <c:pt idx="13">
                  <c:v>144597.0</c:v>
                </c:pt>
                <c:pt idx="14">
                  <c:v>87493.0</c:v>
                </c:pt>
                <c:pt idx="15">
                  <c:v>78420.0</c:v>
                </c:pt>
                <c:pt idx="16">
                  <c:v>86195.0</c:v>
                </c:pt>
                <c:pt idx="17">
                  <c:v>165991.0</c:v>
                </c:pt>
                <c:pt idx="18">
                  <c:v>119988.0</c:v>
                </c:pt>
                <c:pt idx="19">
                  <c:v>75718.0</c:v>
                </c:pt>
                <c:pt idx="20">
                  <c:v>240650.0</c:v>
                </c:pt>
                <c:pt idx="21">
                  <c:v>314510.0</c:v>
                </c:pt>
                <c:pt idx="22">
                  <c:v>15.0</c:v>
                </c:pt>
              </c:numCache>
            </c:numRef>
          </c:val>
        </c:ser>
        <c:axId val="81326984"/>
        <c:axId val="685355288"/>
      </c:barChart>
      <c:catAx>
        <c:axId val="81326984"/>
        <c:scaling>
          <c:orientation val="minMax"/>
        </c:scaling>
        <c:axPos val="b"/>
        <c:title>
          <c:tx>
            <c:rich>
              <a:bodyPr/>
              <a:lstStyle/>
              <a:p>
                <a:pPr>
                  <a:defRPr lang="en-GB"/>
                </a:pPr>
                <a:r>
                  <a:rPr lang="en-GB"/>
                  <a:t>Latency</a:t>
                </a:r>
                <a:r>
                  <a:rPr lang="en-GB" baseline="0"/>
                  <a:t> (ns)</a:t>
                </a:r>
                <a:endParaRPr lang="en-GB"/>
              </a:p>
            </c:rich>
          </c:tx>
          <c:layout/>
        </c:title>
        <c:numFmt formatCode="#,##0" sourceLinked="0"/>
        <c:majorTickMark val="none"/>
        <c:tickLblPos val="nextTo"/>
        <c:txPr>
          <a:bodyPr/>
          <a:lstStyle/>
          <a:p>
            <a:pPr>
              <a:defRPr lang="en-GB"/>
            </a:pPr>
            <a:endParaRPr lang="en-US"/>
          </a:p>
        </c:txPr>
        <c:crossAx val="685355288"/>
        <c:crosses val="autoZero"/>
        <c:auto val="1"/>
        <c:lblAlgn val="ctr"/>
        <c:lblOffset val="100"/>
      </c:catAx>
      <c:valAx>
        <c:axId val="685355288"/>
        <c:scaling>
          <c:logBase val="2.0"/>
          <c:orientation val="minMax"/>
        </c:scaling>
        <c:axPos val="l"/>
        <c:majorGridlines/>
        <c:title>
          <c:tx>
            <c:rich>
              <a:bodyPr/>
              <a:lstStyle/>
              <a:p>
                <a:pPr>
                  <a:defRPr lang="en-GB"/>
                </a:pPr>
                <a:r>
                  <a:rPr lang="en-GB"/>
                  <a:t>Frequency</a:t>
                </a:r>
              </a:p>
            </c:rich>
          </c:tx>
          <c:layout/>
        </c:title>
        <c:numFmt formatCode="General" sourceLinked="1"/>
        <c:majorTickMark val="none"/>
        <c:tickLblPos val="nextTo"/>
        <c:txPr>
          <a:bodyPr/>
          <a:lstStyle/>
          <a:p>
            <a:pPr>
              <a:defRPr lang="en-GB"/>
            </a:pPr>
            <a:endParaRPr lang="en-US"/>
          </a:p>
        </c:txPr>
        <c:crossAx val="81326984"/>
        <c:crosses val="autoZero"/>
        <c:crossBetween val="between"/>
      </c:valAx>
    </c:plotArea>
    <c:legend>
      <c:legendPos val="t"/>
      <c:layou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40C84-0654-1446-B38D-279B0BB2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10</Pages>
  <Words>4727</Words>
  <Characters>26948</Characters>
  <Application>Microsoft Macintosh Word</Application>
  <DocSecurity>0</DocSecurity>
  <Lines>224</Lines>
  <Paragraphs>53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David Farley</cp:lastModifiedBy>
  <cp:revision>232</cp:revision>
  <dcterms:created xsi:type="dcterms:W3CDTF">2011-05-22T15:23:00Z</dcterms:created>
  <dcterms:modified xsi:type="dcterms:W3CDTF">2011-06-16T13:11:00Z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