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6377E" w14:textId="10985844" w:rsidR="00C12EE7" w:rsidRPr="0010672B"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 xml:space="preserve">Question 1 </w:t>
      </w:r>
    </w:p>
    <w:p w14:paraId="7AC81F24" w14:textId="4A67BEF9" w:rsidR="00C12EE7" w:rsidRPr="00C12EE7"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1. Calcul de la productivité marginale du travail pour chaque bien dans chaque pays</w:t>
      </w:r>
    </w:p>
    <w:p w14:paraId="6A5FA462"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La productivité marginale du travail (PML) se calcule en dérivant les fonctions de production par rapport au travail (L).</w:t>
      </w:r>
    </w:p>
    <w:p w14:paraId="72322AA0"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Fonction de production pour le bien X</w:t>
      </w:r>
      <w:r w:rsidRPr="00C12EE7">
        <w:rPr>
          <w:rFonts w:ascii="Times New Roman" w:eastAsia="Times New Roman" w:hAnsi="Times New Roman" w:cs="Times New Roman"/>
          <w:kern w:val="0"/>
          <w:sz w:val="24"/>
          <w:szCs w:val="24"/>
          <w:lang w:eastAsia="fr-TN"/>
          <w14:ligatures w14:val="none"/>
        </w:rPr>
        <w:t xml:space="preserve"> : X = 2L + K La productivité marginale du travail pour le bien X est donc : PML_X = ∂X/∂L = 2</w:t>
      </w:r>
    </w:p>
    <w:p w14:paraId="099A32F7"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Fonction de production pour le bien Y</w:t>
      </w:r>
      <w:r w:rsidRPr="00C12EE7">
        <w:rPr>
          <w:rFonts w:ascii="Times New Roman" w:eastAsia="Times New Roman" w:hAnsi="Times New Roman" w:cs="Times New Roman"/>
          <w:kern w:val="0"/>
          <w:sz w:val="24"/>
          <w:szCs w:val="24"/>
          <w:lang w:eastAsia="fr-TN"/>
          <w14:ligatures w14:val="none"/>
        </w:rPr>
        <w:t xml:space="preserve"> : Y = L + 2K La productivité marginale du travail pour le bien Y est donc : PML_Y = ∂Y/∂L = 1</w:t>
      </w:r>
    </w:p>
    <w:p w14:paraId="7BA1E480"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Calcul pour le pays A (200 unités de travail et 100 unités de capital)</w:t>
      </w:r>
      <w:r w:rsidRPr="00C12EE7">
        <w:rPr>
          <w:rFonts w:ascii="Times New Roman" w:eastAsia="Times New Roman" w:hAnsi="Times New Roman" w:cs="Times New Roman"/>
          <w:kern w:val="0"/>
          <w:sz w:val="24"/>
          <w:szCs w:val="24"/>
          <w:lang w:eastAsia="fr-TN"/>
          <w14:ligatures w14:val="none"/>
        </w:rPr>
        <w:t xml:space="preserve"> :</w:t>
      </w:r>
    </w:p>
    <w:p w14:paraId="0CC7FA3D" w14:textId="77777777" w:rsidR="00C12EE7" w:rsidRPr="00C12EE7" w:rsidRDefault="00C12EE7" w:rsidP="00C12EE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Pour le bien X, la productivité marginale du travail est 2.</w:t>
      </w:r>
    </w:p>
    <w:p w14:paraId="6ED7B3D3" w14:textId="77777777" w:rsidR="00C12EE7" w:rsidRPr="00C12EE7" w:rsidRDefault="00C12EE7" w:rsidP="00C12EE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Pour le bien Y, la productivité marginale du travail est 1.</w:t>
      </w:r>
    </w:p>
    <w:p w14:paraId="641A924C"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Calcul pour le pays B (100 unités de travail et 200 unités de capital)</w:t>
      </w:r>
      <w:r w:rsidRPr="00C12EE7">
        <w:rPr>
          <w:rFonts w:ascii="Times New Roman" w:eastAsia="Times New Roman" w:hAnsi="Times New Roman" w:cs="Times New Roman"/>
          <w:kern w:val="0"/>
          <w:sz w:val="24"/>
          <w:szCs w:val="24"/>
          <w:lang w:eastAsia="fr-TN"/>
          <w14:ligatures w14:val="none"/>
        </w:rPr>
        <w:t xml:space="preserve"> :</w:t>
      </w:r>
    </w:p>
    <w:p w14:paraId="6A6B5622" w14:textId="77777777" w:rsidR="00C12EE7" w:rsidRPr="00C12EE7" w:rsidRDefault="00C12EE7" w:rsidP="00C12E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Pour le bien X, la productivité marginale du travail est 2.</w:t>
      </w:r>
    </w:p>
    <w:p w14:paraId="32D43F1A" w14:textId="77777777" w:rsidR="00C12EE7" w:rsidRPr="00C12EE7" w:rsidRDefault="00C12EE7" w:rsidP="00C12E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Pour le bien Y, la productivité marginale du travail est 1.</w:t>
      </w:r>
    </w:p>
    <w:p w14:paraId="13859FBD"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Ainsi, dans les deux pays, la productivité marginale du travail est plus élevée pour le bien X que pour le bien Y.</w:t>
      </w:r>
    </w:p>
    <w:p w14:paraId="084DE098" w14:textId="77777777" w:rsidR="00C12EE7" w:rsidRPr="00C12EE7" w:rsidRDefault="00000000" w:rsidP="00C12EE7">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37385469">
          <v:rect id="_x0000_i1025" style="width:0;height:1.5pt" o:hralign="center" o:hrstd="t" o:hr="t" fillcolor="#a0a0a0" stroked="f"/>
        </w:pict>
      </w:r>
    </w:p>
    <w:p w14:paraId="2EADCCE9" w14:textId="77777777" w:rsidR="00C12EE7" w:rsidRPr="00C12EE7"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2. Identification des biens que chaque pays va produire en abondance et détermination des biens que chaque pays va exporter et importer</w:t>
      </w:r>
    </w:p>
    <w:p w14:paraId="5C9AC821"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En appliquant le modèle HOS, qui repose sur les dotations en facteurs de production, un pays se spécialise dans la production du bien qui utilise intensivement son facteur abondant. L'intensité en travail et en capital des biens est déterminée par la technologie de production.</w:t>
      </w:r>
    </w:p>
    <w:p w14:paraId="38FC90C0" w14:textId="77777777" w:rsidR="00C12EE7" w:rsidRPr="00C12EE7" w:rsidRDefault="00C12EE7" w:rsidP="00C12EE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Pays A</w:t>
      </w:r>
      <w:r w:rsidRPr="00C12EE7">
        <w:rPr>
          <w:rFonts w:ascii="Times New Roman" w:eastAsia="Times New Roman" w:hAnsi="Times New Roman" w:cs="Times New Roman"/>
          <w:kern w:val="0"/>
          <w:sz w:val="24"/>
          <w:szCs w:val="24"/>
          <w:lang w:eastAsia="fr-TN"/>
          <w14:ligatures w14:val="none"/>
        </w:rPr>
        <w:t xml:space="preserve"> : Possède plus de travail (200 unités) et moins de capital (100 unités). Le bien X, qui utilise relativement plus de travail (2 unités de travail et 1 unité de capital), sera produit en abondance par le pays A.</w:t>
      </w:r>
    </w:p>
    <w:p w14:paraId="4C49EBC4" w14:textId="77777777" w:rsidR="00C12EE7" w:rsidRPr="00C12EE7" w:rsidRDefault="00C12EE7" w:rsidP="00C12EE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Pays B</w:t>
      </w:r>
      <w:r w:rsidRPr="00C12EE7">
        <w:rPr>
          <w:rFonts w:ascii="Times New Roman" w:eastAsia="Times New Roman" w:hAnsi="Times New Roman" w:cs="Times New Roman"/>
          <w:kern w:val="0"/>
          <w:sz w:val="24"/>
          <w:szCs w:val="24"/>
          <w:lang w:eastAsia="fr-TN"/>
          <w14:ligatures w14:val="none"/>
        </w:rPr>
        <w:t xml:space="preserve"> : Possède plus de capital (200 unités) et moins de travail (100 unités). Le bien Y, qui utilise relativement plus de capital (1 unité de travail et 2 unités de capital), sera produit en abondance par le pays B.</w:t>
      </w:r>
    </w:p>
    <w:p w14:paraId="4AE6AC1F"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Ainsi, selon le modèle HOS</w:t>
      </w:r>
      <w:r w:rsidRPr="00C12EE7">
        <w:rPr>
          <w:rFonts w:ascii="Times New Roman" w:eastAsia="Times New Roman" w:hAnsi="Times New Roman" w:cs="Times New Roman"/>
          <w:kern w:val="0"/>
          <w:sz w:val="24"/>
          <w:szCs w:val="24"/>
          <w:lang w:eastAsia="fr-TN"/>
          <w14:ligatures w14:val="none"/>
        </w:rPr>
        <w:t xml:space="preserve"> :</w:t>
      </w:r>
    </w:p>
    <w:p w14:paraId="0E660D03" w14:textId="77777777" w:rsidR="00C12EE7" w:rsidRPr="00C12EE7" w:rsidRDefault="00C12EE7" w:rsidP="00C12E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Le pays A exporte le bien X (bien intensif en travail).</w:t>
      </w:r>
    </w:p>
    <w:p w14:paraId="7C0DE734" w14:textId="77777777" w:rsidR="00C12EE7" w:rsidRPr="00C12EE7" w:rsidRDefault="00C12EE7" w:rsidP="00C12E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Le pays B exporte le bien Y (bien intensif en capital).</w:t>
      </w:r>
    </w:p>
    <w:p w14:paraId="3C6BC228" w14:textId="77777777" w:rsidR="00C12EE7" w:rsidRPr="00C12EE7" w:rsidRDefault="00000000" w:rsidP="00C12EE7">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070B1A96">
          <v:rect id="_x0000_i1026" style="width:0;height:1.5pt" o:hralign="center" o:hrstd="t" o:hr="t" fillcolor="#a0a0a0" stroked="f"/>
        </w:pict>
      </w:r>
    </w:p>
    <w:p w14:paraId="0D045393" w14:textId="77777777" w:rsidR="00C12EE7" w:rsidRPr="00C12EE7"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3. Effet d’une modification des dotations en facteurs de production sur la spécialisation et les échanges</w:t>
      </w:r>
    </w:p>
    <w:p w14:paraId="7A06D61C"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Si les dotations en facteurs de production changent, cela influence la spécialisation des pays selon leurs nouveaux facteurs abondants. Par exemple :</w:t>
      </w:r>
    </w:p>
    <w:p w14:paraId="7350FAB6" w14:textId="77777777" w:rsidR="00C12EE7" w:rsidRPr="00C12EE7" w:rsidRDefault="00C12EE7" w:rsidP="00C12E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lastRenderedPageBreak/>
        <w:t>Si le pays A reçoit plus de capital (par exemple, 50 unités supplémentaires), il devient relativement plus abondant en capital. Ainsi, il pourrait commencer à produire et exporter davantage le bien Y, qui est plus intensif en capital.</w:t>
      </w:r>
    </w:p>
    <w:p w14:paraId="04AF12C7" w14:textId="77777777" w:rsidR="00C12EE7" w:rsidRPr="00C12EE7" w:rsidRDefault="00C12EE7" w:rsidP="00C12E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De même, si le pays B reçoit plus de travail, il deviendra relativement plus abondant en travail et pourrait commencer à se spécialiser davantage dans la production du bien X.</w:t>
      </w:r>
    </w:p>
    <w:p w14:paraId="4B701D1B"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Le modèle HOS prédit donc que les pays s’adaptent à leurs nouvelles dotations en facteurs, ce qui peut entraîner un réajustement dans leurs spécialisations et leurs échanges.</w:t>
      </w:r>
    </w:p>
    <w:p w14:paraId="27197338" w14:textId="77777777" w:rsidR="00C12EE7" w:rsidRPr="00C12EE7" w:rsidRDefault="00000000" w:rsidP="00C12EE7">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5007A92F">
          <v:rect id="_x0000_i1027" style="width:0;height:1.5pt" o:hralign="center" o:hrstd="t" o:hr="t" fillcolor="#a0a0a0" stroked="f"/>
        </w:pict>
      </w:r>
    </w:p>
    <w:p w14:paraId="16660017" w14:textId="77777777" w:rsidR="00C12EE7" w:rsidRPr="00C12EE7"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Limites et critiques potentielles du modèle HOS</w:t>
      </w:r>
    </w:p>
    <w:p w14:paraId="621E368A" w14:textId="77777777" w:rsidR="00C12EE7" w:rsidRPr="00C12EE7" w:rsidRDefault="00C12EE7" w:rsidP="00C12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Repose sur des hypothèses idéalisées</w:t>
      </w:r>
      <w:r w:rsidRPr="00C12EE7">
        <w:rPr>
          <w:rFonts w:ascii="Times New Roman" w:eastAsia="Times New Roman" w:hAnsi="Times New Roman" w:cs="Times New Roman"/>
          <w:kern w:val="0"/>
          <w:sz w:val="24"/>
          <w:szCs w:val="24"/>
          <w:lang w:eastAsia="fr-TN"/>
          <w14:ligatures w14:val="none"/>
        </w:rPr>
        <w:t xml:space="preserve"> :</w:t>
      </w:r>
    </w:p>
    <w:p w14:paraId="3C1F3136"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Concurrence parfaite.</w:t>
      </w:r>
    </w:p>
    <w:p w14:paraId="13AFBFBC"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Immobilité internationale des facteurs.</w:t>
      </w:r>
    </w:p>
    <w:p w14:paraId="585B3DFA" w14:textId="77777777" w:rsidR="00C12EE7" w:rsidRPr="00C12EE7" w:rsidRDefault="00C12EE7" w:rsidP="00C12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Simplifie la réalité économique moderne</w:t>
      </w:r>
      <w:r w:rsidRPr="00C12EE7">
        <w:rPr>
          <w:rFonts w:ascii="Times New Roman" w:eastAsia="Times New Roman" w:hAnsi="Times New Roman" w:cs="Times New Roman"/>
          <w:kern w:val="0"/>
          <w:sz w:val="24"/>
          <w:szCs w:val="24"/>
          <w:lang w:eastAsia="fr-TN"/>
          <w14:ligatures w14:val="none"/>
        </w:rPr>
        <w:t xml:space="preserve"> :</w:t>
      </w:r>
    </w:p>
    <w:p w14:paraId="3F657FE1"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Barrières douanières et politiques protectionnistes.</w:t>
      </w:r>
    </w:p>
    <w:p w14:paraId="33E7AF55"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Différences technologiques et institutionnelles.</w:t>
      </w:r>
    </w:p>
    <w:p w14:paraId="5A3E2C7D"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Disparités dans la qualification de la main-d’œuvre.</w:t>
      </w:r>
    </w:p>
    <w:p w14:paraId="1E3DA4BC" w14:textId="77777777" w:rsidR="00C12EE7" w:rsidRPr="00C12EE7" w:rsidRDefault="00C12EE7" w:rsidP="00C12EE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Rôle accru des investissements en R&amp;D et des entreprises transnationales.</w:t>
      </w:r>
    </w:p>
    <w:p w14:paraId="3DE5744C" w14:textId="77777777" w:rsidR="00C12EE7" w:rsidRPr="00C12EE7" w:rsidRDefault="00C12EE7" w:rsidP="00C12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Ne reflète pas la complexité des dynamiques commerciales dans un monde globalisé</w:t>
      </w:r>
      <w:r w:rsidRPr="00C12EE7">
        <w:rPr>
          <w:rFonts w:ascii="Times New Roman" w:eastAsia="Times New Roman" w:hAnsi="Times New Roman" w:cs="Times New Roman"/>
          <w:kern w:val="0"/>
          <w:sz w:val="24"/>
          <w:szCs w:val="24"/>
          <w:lang w:eastAsia="fr-TN"/>
          <w14:ligatures w14:val="none"/>
        </w:rPr>
        <w:t>.</w:t>
      </w:r>
    </w:p>
    <w:p w14:paraId="26AB63B3" w14:textId="77777777" w:rsidR="00C12EE7" w:rsidRPr="00C12EE7" w:rsidRDefault="00000000" w:rsidP="00C12EE7">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50F24EDC">
          <v:rect id="_x0000_i1028" style="width:0;height:1.5pt" o:hralign="center" o:hrstd="t" o:hr="t" fillcolor="#a0a0a0" stroked="f"/>
        </w:pict>
      </w:r>
    </w:p>
    <w:p w14:paraId="181C8692" w14:textId="77777777" w:rsidR="00C12EE7" w:rsidRPr="00C12EE7" w:rsidRDefault="00C12EE7" w:rsidP="00C12EE7">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Paradoxe de Leontief et remise en question du modèle HOS</w:t>
      </w:r>
    </w:p>
    <w:p w14:paraId="19635FE4"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Observations empiriques</w:t>
      </w:r>
      <w:r w:rsidRPr="00C12EE7">
        <w:rPr>
          <w:rFonts w:ascii="Times New Roman" w:eastAsia="Times New Roman" w:hAnsi="Times New Roman" w:cs="Times New Roman"/>
          <w:kern w:val="0"/>
          <w:sz w:val="24"/>
          <w:szCs w:val="24"/>
          <w:lang w:eastAsia="fr-TN"/>
          <w14:ligatures w14:val="none"/>
        </w:rPr>
        <w:t xml:space="preserve"> :</w:t>
      </w:r>
    </w:p>
    <w:p w14:paraId="146260EF" w14:textId="77777777" w:rsidR="00C12EE7" w:rsidRPr="00C12EE7" w:rsidRDefault="00C12EE7" w:rsidP="00C12EE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Les exportations américaines sont plus intensives en main-d’œuvre qualifiée, et non en capital, contrairement à ce que prédit le modèle HOS.</w:t>
      </w:r>
    </w:p>
    <w:p w14:paraId="1D2D5FA8"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Contradiction avec l’idée que les exportations utilisent le facteur abondant</w:t>
      </w:r>
      <w:r w:rsidRPr="00C12EE7">
        <w:rPr>
          <w:rFonts w:ascii="Times New Roman" w:eastAsia="Times New Roman" w:hAnsi="Times New Roman" w:cs="Times New Roman"/>
          <w:kern w:val="0"/>
          <w:sz w:val="24"/>
          <w:szCs w:val="24"/>
          <w:lang w:eastAsia="fr-TN"/>
          <w14:ligatures w14:val="none"/>
        </w:rPr>
        <w:t>.</w:t>
      </w:r>
    </w:p>
    <w:p w14:paraId="70BB77A9"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Explications avancées</w:t>
      </w:r>
      <w:r w:rsidRPr="00C12EE7">
        <w:rPr>
          <w:rFonts w:ascii="Times New Roman" w:eastAsia="Times New Roman" w:hAnsi="Times New Roman" w:cs="Times New Roman"/>
          <w:kern w:val="0"/>
          <w:sz w:val="24"/>
          <w:szCs w:val="24"/>
          <w:lang w:eastAsia="fr-TN"/>
          <w14:ligatures w14:val="none"/>
        </w:rPr>
        <w:t xml:space="preserve"> :</w:t>
      </w:r>
    </w:p>
    <w:p w14:paraId="62EA811C" w14:textId="77777777" w:rsidR="00C12EE7" w:rsidRPr="00C12EE7" w:rsidRDefault="00C12EE7" w:rsidP="00C12E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Supériorité de l'efficacité et qualification de la main-d’œuvre américaine.</w:t>
      </w:r>
    </w:p>
    <w:p w14:paraId="5967EC9B" w14:textId="77777777" w:rsidR="00C12EE7" w:rsidRPr="00C12EE7" w:rsidRDefault="00C12EE7" w:rsidP="00C12E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Impact de la R&amp;D (exportations intensives en recherche).</w:t>
      </w:r>
    </w:p>
    <w:p w14:paraId="02ECE38F" w14:textId="77777777" w:rsidR="00C12EE7" w:rsidRPr="00C12EE7" w:rsidRDefault="00C12EE7" w:rsidP="00C12E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kern w:val="0"/>
          <w:sz w:val="24"/>
          <w:szCs w:val="24"/>
          <w:lang w:eastAsia="fr-TN"/>
          <w14:ligatures w14:val="none"/>
        </w:rPr>
        <w:t>Influence des barrières douanières et industries liées aux ressources naturelles.</w:t>
      </w:r>
    </w:p>
    <w:p w14:paraId="54E291FB" w14:textId="77777777" w:rsidR="00C12EE7" w:rsidRPr="00C12EE7" w:rsidRDefault="00C12EE7" w:rsidP="00C12EE7">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C12EE7">
        <w:rPr>
          <w:rFonts w:ascii="Times New Roman" w:eastAsia="Times New Roman" w:hAnsi="Times New Roman" w:cs="Times New Roman"/>
          <w:b/>
          <w:bCs/>
          <w:kern w:val="0"/>
          <w:sz w:val="24"/>
          <w:szCs w:val="24"/>
          <w:lang w:eastAsia="fr-TN"/>
          <w14:ligatures w14:val="none"/>
        </w:rPr>
        <w:t>Conclusion</w:t>
      </w:r>
      <w:r w:rsidRPr="00C12EE7">
        <w:rPr>
          <w:rFonts w:ascii="Times New Roman" w:eastAsia="Times New Roman" w:hAnsi="Times New Roman" w:cs="Times New Roman"/>
          <w:kern w:val="0"/>
          <w:sz w:val="24"/>
          <w:szCs w:val="24"/>
          <w:lang w:eastAsia="fr-TN"/>
          <w14:ligatures w14:val="none"/>
        </w:rPr>
        <w:t xml:space="preserve"> : Le paradoxe de Leontief met en doute la généralisation des hypothèses d’intensité factorielle du modèle HOS.</w:t>
      </w:r>
    </w:p>
    <w:p w14:paraId="4FA633BA" w14:textId="77777777" w:rsidR="00C12EE7" w:rsidRPr="0010672B" w:rsidRDefault="00C12EE7" w:rsidP="000E16D3">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p>
    <w:p w14:paraId="31349147" w14:textId="78A79258" w:rsidR="000E16D3" w:rsidRPr="0010672B" w:rsidRDefault="000E16D3" w:rsidP="000E16D3">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Question 2 : Questions de cours</w:t>
      </w:r>
    </w:p>
    <w:p w14:paraId="3909E090" w14:textId="421B6D15"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Rendements d'échelle croissants</w:t>
      </w:r>
      <w:r w:rsidRPr="000E16D3">
        <w:rPr>
          <w:rFonts w:ascii="Times New Roman" w:eastAsia="Times New Roman" w:hAnsi="Times New Roman" w:cs="Times New Roman"/>
          <w:kern w:val="0"/>
          <w:sz w:val="24"/>
          <w:szCs w:val="24"/>
          <w:lang w:eastAsia="fr-TN"/>
          <w14:ligatures w14:val="none"/>
        </w:rPr>
        <w:br/>
        <w:t>Les rendements d'échelle croissants se produisent lorsque la production d'une entreprise augmente plus que proportionnellement par rapport à l'augmentation des intrants. Cela signifie qu'en doublant les ressources utilisées (comme le travail et le capital), la production augmente de plus de 100 %. Ce phénomène est souvent lié à des économies d'échelle, où les coûts unitaires de production diminuent à mesure que la production augmente, ce qui peut favoriser la spécialisation et le commerce international.</w:t>
      </w:r>
    </w:p>
    <w:p w14:paraId="4AF8BFFD"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7C47C49D">
          <v:rect id="_x0000_i1029" style="width:0;height:1.5pt" o:hralign="center" o:hrstd="t" o:hr="t" fillcolor="#a0a0a0" stroked="f"/>
        </w:pict>
      </w:r>
    </w:p>
    <w:p w14:paraId="43EA3848"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lastRenderedPageBreak/>
        <w:t>Droit de douane ad valorem</w:t>
      </w:r>
      <w:r w:rsidRPr="000E16D3">
        <w:rPr>
          <w:rFonts w:ascii="Times New Roman" w:eastAsia="Times New Roman" w:hAnsi="Times New Roman" w:cs="Times New Roman"/>
          <w:kern w:val="0"/>
          <w:sz w:val="24"/>
          <w:szCs w:val="24"/>
          <w:lang w:eastAsia="fr-TN"/>
          <w14:ligatures w14:val="none"/>
        </w:rPr>
        <w:br/>
        <w:t>Un droit de douane ad valorem est un type de tarif douanier qui est calculé en pourcentage de la valeur d'un produit importé. Par exemple, si un produit a une valeur de 100 euros et qu'un droit de douane ad valorem de 10 % est appliqué, le montant du droit de douane sera de 10 euros. Ce type de tarif est souvent utilisé pour s'assurer que les recettes douanières augmentent avec la valeur des biens importés.</w:t>
      </w:r>
    </w:p>
    <w:p w14:paraId="0B7E072A" w14:textId="1F6173E3"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684EA3C8">
          <v:rect id="_x0000_i1030" style="width:0;height:1.5pt" o:hralign="center" o:hrstd="t" o:hr="t" fillcolor="#a0a0a0" stroked="f"/>
        </w:pict>
      </w:r>
      <w:r w:rsidR="00C12EE7" w:rsidRPr="0010672B">
        <w:rPr>
          <w:rFonts w:ascii="Times New Roman" w:eastAsia="Times New Roman" w:hAnsi="Times New Roman" w:cs="Times New Roman"/>
          <w:kern w:val="0"/>
          <w:sz w:val="24"/>
          <w:szCs w:val="24"/>
          <w:lang w:eastAsia="fr-TN"/>
          <w14:ligatures w14:val="none"/>
        </w:rPr>
        <w:t>a</w:t>
      </w:r>
    </w:p>
    <w:p w14:paraId="7CE58409"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Commerce intra-branche</w:t>
      </w:r>
      <w:r w:rsidRPr="000E16D3">
        <w:rPr>
          <w:rFonts w:ascii="Times New Roman" w:eastAsia="Times New Roman" w:hAnsi="Times New Roman" w:cs="Times New Roman"/>
          <w:kern w:val="0"/>
          <w:sz w:val="24"/>
          <w:szCs w:val="24"/>
          <w:lang w:eastAsia="fr-TN"/>
          <w14:ligatures w14:val="none"/>
        </w:rPr>
        <w:br/>
        <w:t>Le commerce intra-branche fait référence aux échanges de biens similaires entre pays, où les pays importent et exportent des produits de la même catégorie. Par exemple, un pays peut exporter des voitures tout en important des voitures d'un autre pays. Ce type de commerce est souvent observé dans des industries où les produits sont différenciés, permettant aux consommateurs d'accéder à une plus grande variété de choix.</w:t>
      </w:r>
    </w:p>
    <w:p w14:paraId="0C074CCD"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2BEE2D76">
          <v:rect id="_x0000_i1031" style="width:0;height:1.5pt" o:hralign="center" o:hrstd="t" o:hr="t" fillcolor="#a0a0a0" stroked="f"/>
        </w:pict>
      </w:r>
    </w:p>
    <w:p w14:paraId="0F1A0DF2"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Cycle de vie d'un produit</w:t>
      </w:r>
      <w:r w:rsidRPr="000E16D3">
        <w:rPr>
          <w:rFonts w:ascii="Times New Roman" w:eastAsia="Times New Roman" w:hAnsi="Times New Roman" w:cs="Times New Roman"/>
          <w:kern w:val="0"/>
          <w:sz w:val="24"/>
          <w:szCs w:val="24"/>
          <w:lang w:eastAsia="fr-TN"/>
          <w14:ligatures w14:val="none"/>
        </w:rPr>
        <w:br/>
        <w:t>Le cycle de vie d'un produit décrit les différentes étapes qu'un produit traverse depuis son introduction sur le marché jusqu'à son retrait. Les étapes typiques incluent :</w:t>
      </w:r>
    </w:p>
    <w:p w14:paraId="7595BC9A" w14:textId="77777777" w:rsidR="000E16D3" w:rsidRPr="000E16D3" w:rsidRDefault="000E16D3" w:rsidP="000E16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Introduction :</w:t>
      </w:r>
      <w:r w:rsidRPr="000E16D3">
        <w:rPr>
          <w:rFonts w:ascii="Times New Roman" w:eastAsia="Times New Roman" w:hAnsi="Times New Roman" w:cs="Times New Roman"/>
          <w:kern w:val="0"/>
          <w:sz w:val="24"/>
          <w:szCs w:val="24"/>
          <w:lang w:eastAsia="fr-TN"/>
          <w14:ligatures w14:val="none"/>
        </w:rPr>
        <w:t xml:space="preserve"> Le produit est lancé sur le marché.</w:t>
      </w:r>
    </w:p>
    <w:p w14:paraId="0C7148EC" w14:textId="77777777" w:rsidR="000E16D3" w:rsidRPr="000E16D3" w:rsidRDefault="000E16D3" w:rsidP="000E16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Croissance :</w:t>
      </w:r>
      <w:r w:rsidRPr="000E16D3">
        <w:rPr>
          <w:rFonts w:ascii="Times New Roman" w:eastAsia="Times New Roman" w:hAnsi="Times New Roman" w:cs="Times New Roman"/>
          <w:kern w:val="0"/>
          <w:sz w:val="24"/>
          <w:szCs w:val="24"/>
          <w:lang w:eastAsia="fr-TN"/>
          <w14:ligatures w14:val="none"/>
        </w:rPr>
        <w:t xml:space="preserve"> Les ventes augmentent rapidement à mesure que le produit gagne en popularité.</w:t>
      </w:r>
    </w:p>
    <w:p w14:paraId="71074BA4" w14:textId="77777777" w:rsidR="000E16D3" w:rsidRPr="000E16D3" w:rsidRDefault="000E16D3" w:rsidP="000E16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Maturité :</w:t>
      </w:r>
      <w:r w:rsidRPr="000E16D3">
        <w:rPr>
          <w:rFonts w:ascii="Times New Roman" w:eastAsia="Times New Roman" w:hAnsi="Times New Roman" w:cs="Times New Roman"/>
          <w:kern w:val="0"/>
          <w:sz w:val="24"/>
          <w:szCs w:val="24"/>
          <w:lang w:eastAsia="fr-TN"/>
          <w14:ligatures w14:val="none"/>
        </w:rPr>
        <w:t xml:space="preserve"> Les ventes atteignent un plateau, et la concurrence augmente.</w:t>
      </w:r>
    </w:p>
    <w:p w14:paraId="3FEDBE7A" w14:textId="77777777" w:rsidR="000E16D3" w:rsidRPr="000E16D3" w:rsidRDefault="000E16D3" w:rsidP="000E16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Déclin :</w:t>
      </w:r>
      <w:r w:rsidRPr="000E16D3">
        <w:rPr>
          <w:rFonts w:ascii="Times New Roman" w:eastAsia="Times New Roman" w:hAnsi="Times New Roman" w:cs="Times New Roman"/>
          <w:kern w:val="0"/>
          <w:sz w:val="24"/>
          <w:szCs w:val="24"/>
          <w:lang w:eastAsia="fr-TN"/>
          <w14:ligatures w14:val="none"/>
        </w:rPr>
        <w:t xml:space="preserve"> Les ventes diminuent en raison de l'émergence de nouveaux produits ou de changements dans les préférences des consommateurs.</w:t>
      </w:r>
    </w:p>
    <w:p w14:paraId="1EB11761"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6B52E0BB">
          <v:rect id="_x0000_i1032" style="width:0;height:1.5pt" o:hralign="center" o:hrstd="t" o:hr="t" fillcolor="#a0a0a0" stroked="f"/>
        </w:pict>
      </w:r>
    </w:p>
    <w:p w14:paraId="0ADA9B8A"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OMC vs GATT</w:t>
      </w:r>
      <w:r w:rsidRPr="000E16D3">
        <w:rPr>
          <w:rFonts w:ascii="Times New Roman" w:eastAsia="Times New Roman" w:hAnsi="Times New Roman" w:cs="Times New Roman"/>
          <w:kern w:val="0"/>
          <w:sz w:val="24"/>
          <w:szCs w:val="24"/>
          <w:lang w:eastAsia="fr-TN"/>
          <w14:ligatures w14:val="none"/>
        </w:rPr>
        <w:br/>
      </w:r>
      <w:r w:rsidRPr="000E16D3">
        <w:rPr>
          <w:rFonts w:ascii="Times New Roman" w:eastAsia="Times New Roman" w:hAnsi="Times New Roman" w:cs="Times New Roman"/>
          <w:b/>
          <w:bCs/>
          <w:kern w:val="0"/>
          <w:sz w:val="24"/>
          <w:szCs w:val="24"/>
          <w:lang w:eastAsia="fr-TN"/>
          <w14:ligatures w14:val="none"/>
        </w:rPr>
        <w:t>Principales différences :</w:t>
      </w:r>
    </w:p>
    <w:p w14:paraId="7F8DB28E" w14:textId="77777777" w:rsidR="000E16D3" w:rsidRPr="000E16D3" w:rsidRDefault="000E16D3" w:rsidP="000E16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Structure :</w:t>
      </w:r>
      <w:r w:rsidRPr="000E16D3">
        <w:rPr>
          <w:rFonts w:ascii="Times New Roman" w:eastAsia="Times New Roman" w:hAnsi="Times New Roman" w:cs="Times New Roman"/>
          <w:kern w:val="0"/>
          <w:sz w:val="24"/>
          <w:szCs w:val="24"/>
          <w:lang w:eastAsia="fr-TN"/>
          <w14:ligatures w14:val="none"/>
        </w:rPr>
        <w:t xml:space="preserve"> L'OMC (Organisation Mondiale du Commerce) est une organisation permanente avec une structure institutionnelle, tandis que le GATT (Accord Général sur les Tarifs Douaniers et le Commerce) était un accord temporaire sans structure institutionnelle.</w:t>
      </w:r>
    </w:p>
    <w:p w14:paraId="7A07DEFA" w14:textId="77777777" w:rsidR="000E16D3" w:rsidRPr="000E16D3" w:rsidRDefault="000E16D3" w:rsidP="000E16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Portée :</w:t>
      </w:r>
      <w:r w:rsidRPr="000E16D3">
        <w:rPr>
          <w:rFonts w:ascii="Times New Roman" w:eastAsia="Times New Roman" w:hAnsi="Times New Roman" w:cs="Times New Roman"/>
          <w:kern w:val="0"/>
          <w:sz w:val="24"/>
          <w:szCs w:val="24"/>
          <w:lang w:eastAsia="fr-TN"/>
          <w14:ligatures w14:val="none"/>
        </w:rPr>
        <w:t xml:space="preserve"> L'OMC couvre non seulement le commerce des biens, mais aussi des services et des droits de propriété intellectuelle, alors que le GATT se concentrait principalement sur le commerce des biens.</w:t>
      </w:r>
    </w:p>
    <w:p w14:paraId="1B022485"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Apports spécifiques de l'OMC :</w:t>
      </w:r>
    </w:p>
    <w:p w14:paraId="3C3FB3FF" w14:textId="77777777" w:rsidR="000E16D3" w:rsidRPr="000E16D3" w:rsidRDefault="000E16D3" w:rsidP="000E16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L'OMC a introduit des mécanismes de règlement des différends plus formels et contraignants.</w:t>
      </w:r>
    </w:p>
    <w:p w14:paraId="72E90185" w14:textId="77777777" w:rsidR="000E16D3" w:rsidRPr="000E16D3" w:rsidRDefault="000E16D3" w:rsidP="000E16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Elle a élargi le champ d'application des négociations commerciales pour inclure des secteurs comme les services et la propriété intellectuelle, ce qui n'était pas le cas avec le GATT.</w:t>
      </w:r>
    </w:p>
    <w:p w14:paraId="6FEC3AE2"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6584501B">
          <v:rect id="_x0000_i1033" style="width:0;height:1.5pt" o:hralign="center" o:hrstd="t" o:hr="t" fillcolor="#a0a0a0" stroked="f"/>
        </w:pict>
      </w:r>
    </w:p>
    <w:p w14:paraId="5A4B5BF4" w14:textId="0289786C" w:rsidR="002563AF" w:rsidRPr="0010672B" w:rsidRDefault="002563AF" w:rsidP="002563AF">
      <w:pPr>
        <w:rPr>
          <w:sz w:val="24"/>
          <w:szCs w:val="24"/>
        </w:rPr>
      </w:pPr>
      <w:r w:rsidRPr="0010672B">
        <w:rPr>
          <w:rFonts w:ascii="Times New Roman" w:eastAsia="Times New Roman" w:hAnsi="Times New Roman" w:cs="Times New Roman"/>
          <w:b/>
          <w:bCs/>
          <w:kern w:val="0"/>
          <w:sz w:val="24"/>
          <w:szCs w:val="24"/>
          <w:lang w:eastAsia="fr-TN"/>
          <w14:ligatures w14:val="none"/>
        </w:rPr>
        <w:t>Question 3</w:t>
      </w:r>
    </w:p>
    <w:p w14:paraId="549BDBC6" w14:textId="465231C0"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Protectionnisme</w:t>
      </w:r>
      <w:r w:rsidRPr="000E16D3">
        <w:rPr>
          <w:rFonts w:ascii="Times New Roman" w:eastAsia="Times New Roman" w:hAnsi="Times New Roman" w:cs="Times New Roman"/>
          <w:kern w:val="0"/>
          <w:sz w:val="24"/>
          <w:szCs w:val="24"/>
          <w:lang w:eastAsia="fr-TN"/>
          <w14:ligatures w14:val="none"/>
        </w:rPr>
        <w:br/>
      </w:r>
      <w:r w:rsidRPr="000E16D3">
        <w:rPr>
          <w:rFonts w:ascii="Times New Roman" w:eastAsia="Times New Roman" w:hAnsi="Times New Roman" w:cs="Times New Roman"/>
          <w:b/>
          <w:bCs/>
          <w:kern w:val="0"/>
          <w:sz w:val="24"/>
          <w:szCs w:val="24"/>
          <w:lang w:eastAsia="fr-TN"/>
          <w14:ligatures w14:val="none"/>
        </w:rPr>
        <w:t>Raisons d'adopter des politiques protectionnistes :</w:t>
      </w:r>
    </w:p>
    <w:p w14:paraId="7A4B1584" w14:textId="77777777" w:rsidR="000E16D3" w:rsidRPr="000E16D3" w:rsidRDefault="000E16D3" w:rsidP="000E16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Protéger les industries naissantes ou en difficulté.</w:t>
      </w:r>
    </w:p>
    <w:p w14:paraId="2D8559F2" w14:textId="77777777" w:rsidR="000E16D3" w:rsidRPr="000E16D3" w:rsidRDefault="000E16D3" w:rsidP="000E16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Préserver des emplois locaux.</w:t>
      </w:r>
    </w:p>
    <w:p w14:paraId="6FD86F74" w14:textId="77777777" w:rsidR="000E16D3" w:rsidRPr="000E16D3" w:rsidRDefault="000E16D3" w:rsidP="000E16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Réduire la dépendance économique vis-à-vis des importations.</w:t>
      </w:r>
    </w:p>
    <w:p w14:paraId="5D38AD79" w14:textId="77777777" w:rsidR="000E16D3" w:rsidRPr="000E16D3" w:rsidRDefault="000E16D3" w:rsidP="000E16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Répondre à des pratiques commerciales jugées déloyales par d'autres pays.</w:t>
      </w:r>
    </w:p>
    <w:p w14:paraId="6263F05E"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lastRenderedPageBreak/>
        <w:t>Conséquences du protectionnisme :</w:t>
      </w:r>
    </w:p>
    <w:p w14:paraId="2F093831" w14:textId="77777777" w:rsidR="000E16D3" w:rsidRPr="000E16D3" w:rsidRDefault="000E16D3" w:rsidP="000E16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Augmentation des prix pour les consommateurs en raison de la réduction de la concurrence.</w:t>
      </w:r>
    </w:p>
    <w:p w14:paraId="0FBD74D0" w14:textId="77777777" w:rsidR="000E16D3" w:rsidRPr="000E16D3" w:rsidRDefault="000E16D3" w:rsidP="000E16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Risque de représailles commerciales de la part d'autres pays.</w:t>
      </w:r>
    </w:p>
    <w:p w14:paraId="72370E33" w14:textId="77777777" w:rsidR="000E16D3" w:rsidRPr="000E16D3" w:rsidRDefault="000E16D3" w:rsidP="000E16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Distorsion des marchés et allocation inefficace des ressources.</w:t>
      </w:r>
    </w:p>
    <w:p w14:paraId="4528B509"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2002047C">
          <v:rect id="_x0000_i1034" style="width:0;height:1.5pt" o:hralign="center" o:hrstd="t" o:hr="t" fillcolor="#a0a0a0" stroked="f"/>
        </w:pict>
      </w:r>
    </w:p>
    <w:p w14:paraId="45B5F382"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Tarifs douaniers</w:t>
      </w:r>
      <w:r w:rsidRPr="000E16D3">
        <w:rPr>
          <w:rFonts w:ascii="Times New Roman" w:eastAsia="Times New Roman" w:hAnsi="Times New Roman" w:cs="Times New Roman"/>
          <w:kern w:val="0"/>
          <w:sz w:val="24"/>
          <w:szCs w:val="24"/>
          <w:lang w:eastAsia="fr-TN"/>
          <w14:ligatures w14:val="none"/>
        </w:rPr>
        <w:br/>
      </w:r>
      <w:r w:rsidRPr="000E16D3">
        <w:rPr>
          <w:rFonts w:ascii="Times New Roman" w:eastAsia="Times New Roman" w:hAnsi="Times New Roman" w:cs="Times New Roman"/>
          <w:b/>
          <w:bCs/>
          <w:kern w:val="0"/>
          <w:sz w:val="24"/>
          <w:szCs w:val="24"/>
          <w:lang w:eastAsia="fr-TN"/>
          <w14:ligatures w14:val="none"/>
        </w:rPr>
        <w:t>Utilisation des tarifs douaniers comme barrière commerciale :</w:t>
      </w:r>
      <w:r w:rsidRPr="000E16D3">
        <w:rPr>
          <w:rFonts w:ascii="Times New Roman" w:eastAsia="Times New Roman" w:hAnsi="Times New Roman" w:cs="Times New Roman"/>
          <w:kern w:val="0"/>
          <w:sz w:val="24"/>
          <w:szCs w:val="24"/>
          <w:lang w:eastAsia="fr-TN"/>
          <w14:ligatures w14:val="none"/>
        </w:rPr>
        <w:br/>
        <w:t>Les tarifs douaniers augmentent le coût des produits importés, ce qui peut décourager les consommateurs d'acheter des biens étrangers au profit des produits locaux, protégeant ainsi les industries nationales.</w:t>
      </w:r>
    </w:p>
    <w:p w14:paraId="704BA8E0"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Exemple de pays :</w:t>
      </w:r>
      <w:r w:rsidRPr="000E16D3">
        <w:rPr>
          <w:rFonts w:ascii="Times New Roman" w:eastAsia="Times New Roman" w:hAnsi="Times New Roman" w:cs="Times New Roman"/>
          <w:kern w:val="0"/>
          <w:sz w:val="24"/>
          <w:szCs w:val="24"/>
          <w:lang w:eastAsia="fr-TN"/>
          <w14:ligatures w14:val="none"/>
        </w:rPr>
        <w:br/>
        <w:t>Les États-Unis ont mis en place des tarifs douaniers sur l'acier et l'aluminium pour protéger leurs industries locales contre la concurrence étrangère.</w:t>
      </w:r>
    </w:p>
    <w:p w14:paraId="219A93BC" w14:textId="77777777" w:rsidR="000E16D3" w:rsidRPr="000E16D3" w:rsidRDefault="00000000" w:rsidP="000E16D3">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0872D960">
          <v:rect id="_x0000_i1035" style="width:0;height:1.5pt" o:hralign="center" o:hrstd="t" o:hr="t" fillcolor="#a0a0a0" stroked="f"/>
        </w:pict>
      </w:r>
    </w:p>
    <w:p w14:paraId="1512F0F3" w14:textId="28DAF6DE" w:rsidR="002563AF" w:rsidRPr="0010672B" w:rsidRDefault="000E16D3" w:rsidP="000E16D3">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Analyse graphique</w:t>
      </w:r>
    </w:p>
    <w:p w14:paraId="201FBFFF" w14:textId="4A7F6A04" w:rsidR="002563AF" w:rsidRPr="0010672B" w:rsidRDefault="002563AF" w:rsidP="000E16D3">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noProof/>
          <w:kern w:val="0"/>
          <w:sz w:val="24"/>
          <w:szCs w:val="24"/>
          <w:lang w:eastAsia="fr-TN"/>
          <w14:ligatures w14:val="none"/>
        </w:rPr>
        <w:drawing>
          <wp:inline distT="0" distB="0" distL="0" distR="0" wp14:anchorId="3F9CC25B" wp14:editId="30075423">
            <wp:extent cx="5823538" cy="3002280"/>
            <wp:effectExtent l="0" t="0" r="6350" b="7620"/>
            <wp:docPr id="7559144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1442" name="Picture 1" descr="A diagram of a graph&#10;&#10;Description automatically generated"/>
                    <pic:cNvPicPr/>
                  </pic:nvPicPr>
                  <pic:blipFill>
                    <a:blip r:embed="rId5"/>
                    <a:stretch>
                      <a:fillRect/>
                    </a:stretch>
                  </pic:blipFill>
                  <pic:spPr>
                    <a:xfrm>
                      <a:off x="0" y="0"/>
                      <a:ext cx="5833671" cy="3007504"/>
                    </a:xfrm>
                    <a:prstGeom prst="rect">
                      <a:avLst/>
                    </a:prstGeom>
                  </pic:spPr>
                </pic:pic>
              </a:graphicData>
            </a:graphic>
          </wp:inline>
        </w:drawing>
      </w:r>
    </w:p>
    <w:p w14:paraId="42225E9A" w14:textId="4EEF6D5F"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br/>
        <w:t>L'imposition d'un droit de douane affecte les consommateurs en augmentant le prix des biens importés. Graphiquement, cela se traduit par un déplacement de la courbe de demande vers la gauche, ce qui réduit la quantité demandée. Les consommateurs paient un prix plus élevé (prix local supérieur au prix mondial) et consomment moins de biens importés, ce qui entraîne une perte de surplus pour eux.</w:t>
      </w:r>
    </w:p>
    <w:p w14:paraId="3B94027A"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Axes du graphique :</w:t>
      </w:r>
    </w:p>
    <w:p w14:paraId="382FD591" w14:textId="77777777" w:rsidR="000E16D3" w:rsidRPr="000E16D3" w:rsidRDefault="000E16D3" w:rsidP="000E16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L'axe vertical représente le prix des biens.</w:t>
      </w:r>
    </w:p>
    <w:p w14:paraId="1E20EDF3" w14:textId="77777777" w:rsidR="000E16D3" w:rsidRPr="000E16D3" w:rsidRDefault="000E16D3" w:rsidP="000E16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L'axe horizontal représente les quantités de biens.</w:t>
      </w:r>
    </w:p>
    <w:p w14:paraId="705547AF"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Courbes de demande et d'offre :</w:t>
      </w:r>
    </w:p>
    <w:p w14:paraId="12ABFE90" w14:textId="77777777" w:rsidR="000E16D3" w:rsidRPr="000E16D3" w:rsidRDefault="000E16D3" w:rsidP="000E16D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La courbe de demande (D) montre la quantité de biens que les consommateurs sont prêts à acheter à différents niveaux de prix.</w:t>
      </w:r>
    </w:p>
    <w:p w14:paraId="6B5182B2" w14:textId="77777777" w:rsidR="000E16D3" w:rsidRPr="000E16D3" w:rsidRDefault="000E16D3" w:rsidP="000E16D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lastRenderedPageBreak/>
        <w:t>La courbe d'offre (O) représente la quantité de biens que les producteurs locaux sont prêts à offrir à différents niveaux de prix.</w:t>
      </w:r>
    </w:p>
    <w:p w14:paraId="310FE332"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Prix mondial et prix local :</w:t>
      </w:r>
    </w:p>
    <w:p w14:paraId="498BCACF" w14:textId="77777777" w:rsidR="000E16D3" w:rsidRPr="000E16D3" w:rsidRDefault="000E16D3" w:rsidP="000E16D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Le prix mondial (p_m) est le prix auquel les biens peuvent être importés sans droits de douane.</w:t>
      </w:r>
    </w:p>
    <w:p w14:paraId="12F03248" w14:textId="77777777" w:rsidR="000E16D3" w:rsidRPr="000E16D3" w:rsidRDefault="000E16D3" w:rsidP="000E16D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Lorsque le droit de douane est instauré, le prix local augmente (p_t).</w:t>
      </w:r>
    </w:p>
    <w:p w14:paraId="23C5A7C9"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Effets sur les importations :</w:t>
      </w:r>
    </w:p>
    <w:p w14:paraId="70C28343" w14:textId="77777777" w:rsidR="000E16D3" w:rsidRPr="000E16D3" w:rsidRDefault="000E16D3" w:rsidP="0010672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Avant le tarif : demande D1, offre Q1.</w:t>
      </w:r>
    </w:p>
    <w:p w14:paraId="713298D9" w14:textId="77777777" w:rsidR="000E16D3" w:rsidRPr="000E16D3" w:rsidRDefault="000E16D3" w:rsidP="000E16D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Après le tarif : demande D2, offre Q2.</w:t>
      </w:r>
    </w:p>
    <w:p w14:paraId="3D1EB23F" w14:textId="77777777" w:rsidR="000E16D3" w:rsidRPr="000E16D3" w:rsidRDefault="000E16D3" w:rsidP="000E16D3">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b/>
          <w:bCs/>
          <w:kern w:val="0"/>
          <w:sz w:val="24"/>
          <w:szCs w:val="24"/>
          <w:lang w:eastAsia="fr-TN"/>
          <w14:ligatures w14:val="none"/>
        </w:rPr>
        <w:t>Redistribution des revenus :</w:t>
      </w:r>
    </w:p>
    <w:p w14:paraId="5DA8E6A3" w14:textId="77777777" w:rsidR="000E16D3" w:rsidRPr="0010672B" w:rsidRDefault="000E16D3" w:rsidP="000E16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0E16D3">
        <w:rPr>
          <w:rFonts w:ascii="Times New Roman" w:eastAsia="Times New Roman" w:hAnsi="Times New Roman" w:cs="Times New Roman"/>
          <w:kern w:val="0"/>
          <w:sz w:val="24"/>
          <w:szCs w:val="24"/>
          <w:lang w:eastAsia="fr-TN"/>
          <w14:ligatures w14:val="none"/>
        </w:rPr>
        <w:t>Recettes fiscales pour l'État, profits locaux augmentés, perte pour les consommateurs.</w:t>
      </w:r>
    </w:p>
    <w:p w14:paraId="4E915523"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p>
    <w:p w14:paraId="0CE492F5" w14:textId="26E2317D"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Question 4:</w:t>
      </w:r>
    </w:p>
    <w:p w14:paraId="7E3DBD5C"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Élaboration de la Balance des Paiements</w:t>
      </w:r>
    </w:p>
    <w:p w14:paraId="21965C73"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Pour élaborer une balance des paiements, nous allons classer chaque transaction dans les catégories appropriées :</w:t>
      </w:r>
    </w:p>
    <w:p w14:paraId="20655C28" w14:textId="77777777" w:rsidR="0010672B" w:rsidRPr="0010672B" w:rsidRDefault="0010672B" w:rsidP="0010672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 xml:space="preserve"> (comprenant les exportations et importations de biens et services, les transferts courants)</w:t>
      </w:r>
    </w:p>
    <w:p w14:paraId="6B8D1CBB" w14:textId="77777777" w:rsidR="0010672B" w:rsidRPr="0010672B" w:rsidRDefault="0010672B" w:rsidP="0010672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 xml:space="preserve"> (comprenant les investissements directs, les investissements de portefeuille, et les emprunts).</w:t>
      </w:r>
    </w:p>
    <w:p w14:paraId="1F942699"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Transactions et Catégories</w:t>
      </w:r>
    </w:p>
    <w:p w14:paraId="11998E62"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Exportations de biens</w:t>
      </w:r>
      <w:r w:rsidRPr="0010672B">
        <w:rPr>
          <w:rFonts w:ascii="Times New Roman" w:eastAsia="Times New Roman" w:hAnsi="Times New Roman" w:cs="Times New Roman"/>
          <w:kern w:val="0"/>
          <w:sz w:val="24"/>
          <w:szCs w:val="24"/>
          <w:lang w:eastAsia="fr-TN"/>
          <w14:ligatures w14:val="none"/>
        </w:rPr>
        <w:t xml:space="preserve"> : +150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4AF7EE10"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Importations de services</w:t>
      </w:r>
      <w:r w:rsidRPr="0010672B">
        <w:rPr>
          <w:rFonts w:ascii="Times New Roman" w:eastAsia="Times New Roman" w:hAnsi="Times New Roman" w:cs="Times New Roman"/>
          <w:kern w:val="0"/>
          <w:sz w:val="24"/>
          <w:szCs w:val="24"/>
          <w:lang w:eastAsia="fr-TN"/>
          <w14:ligatures w14:val="none"/>
        </w:rPr>
        <w:t xml:space="preserve"> : -40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2474B8F3"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Aide financière reçue</w:t>
      </w:r>
      <w:r w:rsidRPr="0010672B">
        <w:rPr>
          <w:rFonts w:ascii="Times New Roman" w:eastAsia="Times New Roman" w:hAnsi="Times New Roman" w:cs="Times New Roman"/>
          <w:kern w:val="0"/>
          <w:sz w:val="24"/>
          <w:szCs w:val="24"/>
          <w:lang w:eastAsia="fr-TN"/>
          <w14:ligatures w14:val="none"/>
        </w:rPr>
        <w:t xml:space="preserve"> : +20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2CE813A7"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directs étrangers sortants</w:t>
      </w:r>
      <w:r w:rsidRPr="0010672B">
        <w:rPr>
          <w:rFonts w:ascii="Times New Roman" w:eastAsia="Times New Roman" w:hAnsi="Times New Roman" w:cs="Times New Roman"/>
          <w:kern w:val="0"/>
          <w:sz w:val="24"/>
          <w:szCs w:val="24"/>
          <w:lang w:eastAsia="fr-TN"/>
          <w14:ligatures w14:val="none"/>
        </w:rPr>
        <w:t xml:space="preserve"> : -60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5E46AB2F"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Solde commercial positif</w:t>
      </w:r>
      <w:r w:rsidRPr="0010672B">
        <w:rPr>
          <w:rFonts w:ascii="Times New Roman" w:eastAsia="Times New Roman" w:hAnsi="Times New Roman" w:cs="Times New Roman"/>
          <w:kern w:val="0"/>
          <w:sz w:val="24"/>
          <w:szCs w:val="24"/>
          <w:lang w:eastAsia="fr-TN"/>
          <w14:ligatures w14:val="none"/>
        </w:rPr>
        <w:t xml:space="preserve"> : +30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582208C8"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Transferts courants sortants</w:t>
      </w:r>
      <w:r w:rsidRPr="0010672B">
        <w:rPr>
          <w:rFonts w:ascii="Times New Roman" w:eastAsia="Times New Roman" w:hAnsi="Times New Roman" w:cs="Times New Roman"/>
          <w:kern w:val="0"/>
          <w:sz w:val="24"/>
          <w:szCs w:val="24"/>
          <w:lang w:eastAsia="fr-TN"/>
          <w14:ligatures w14:val="none"/>
        </w:rPr>
        <w:t xml:space="preserve"> : -25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2CB7D146"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Acquisition d'une entreprise étrangère</w:t>
      </w:r>
      <w:r w:rsidRPr="0010672B">
        <w:rPr>
          <w:rFonts w:ascii="Times New Roman" w:eastAsia="Times New Roman" w:hAnsi="Times New Roman" w:cs="Times New Roman"/>
          <w:kern w:val="0"/>
          <w:sz w:val="24"/>
          <w:szCs w:val="24"/>
          <w:lang w:eastAsia="fr-TN"/>
          <w14:ligatures w14:val="none"/>
        </w:rPr>
        <w:t xml:space="preserve"> : -50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22E4447F"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Remboursement d'un prêt étranger</w:t>
      </w:r>
      <w:r w:rsidRPr="0010672B">
        <w:rPr>
          <w:rFonts w:ascii="Times New Roman" w:eastAsia="Times New Roman" w:hAnsi="Times New Roman" w:cs="Times New Roman"/>
          <w:kern w:val="0"/>
          <w:sz w:val="24"/>
          <w:szCs w:val="24"/>
          <w:lang w:eastAsia="fr-TN"/>
          <w14:ligatures w14:val="none"/>
        </w:rPr>
        <w:t xml:space="preserve"> : -15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2A247C5A"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Envoi de fonds à l'étranger</w:t>
      </w:r>
      <w:r w:rsidRPr="0010672B">
        <w:rPr>
          <w:rFonts w:ascii="Times New Roman" w:eastAsia="Times New Roman" w:hAnsi="Times New Roman" w:cs="Times New Roman"/>
          <w:kern w:val="0"/>
          <w:sz w:val="24"/>
          <w:szCs w:val="24"/>
          <w:lang w:eastAsia="fr-TN"/>
          <w14:ligatures w14:val="none"/>
        </w:rPr>
        <w:t xml:space="preserve"> : -10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54C355B8"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de portefeuille sortants</w:t>
      </w:r>
      <w:r w:rsidRPr="0010672B">
        <w:rPr>
          <w:rFonts w:ascii="Times New Roman" w:eastAsia="Times New Roman" w:hAnsi="Times New Roman" w:cs="Times New Roman"/>
          <w:kern w:val="0"/>
          <w:sz w:val="24"/>
          <w:szCs w:val="24"/>
          <w:lang w:eastAsia="fr-TN"/>
          <w14:ligatures w14:val="none"/>
        </w:rPr>
        <w:t xml:space="preserve"> : -35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64BC698E"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Solde du compte financier</w:t>
      </w:r>
      <w:r w:rsidRPr="0010672B">
        <w:rPr>
          <w:rFonts w:ascii="Times New Roman" w:eastAsia="Times New Roman" w:hAnsi="Times New Roman" w:cs="Times New Roman"/>
          <w:kern w:val="0"/>
          <w:sz w:val="24"/>
          <w:szCs w:val="24"/>
          <w:lang w:eastAsia="fr-TN"/>
          <w14:ligatures w14:val="none"/>
        </w:rPr>
        <w:t xml:space="preserve"> : +5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2B2A5423"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Importations de biens</w:t>
      </w:r>
      <w:r w:rsidRPr="0010672B">
        <w:rPr>
          <w:rFonts w:ascii="Times New Roman" w:eastAsia="Times New Roman" w:hAnsi="Times New Roman" w:cs="Times New Roman"/>
          <w:kern w:val="0"/>
          <w:sz w:val="24"/>
          <w:szCs w:val="24"/>
          <w:lang w:eastAsia="fr-TN"/>
          <w14:ligatures w14:val="none"/>
        </w:rPr>
        <w:t xml:space="preserve"> : -120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11EA9D9B"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Exportations de services</w:t>
      </w:r>
      <w:r w:rsidRPr="0010672B">
        <w:rPr>
          <w:rFonts w:ascii="Times New Roman" w:eastAsia="Times New Roman" w:hAnsi="Times New Roman" w:cs="Times New Roman"/>
          <w:kern w:val="0"/>
          <w:sz w:val="24"/>
          <w:szCs w:val="24"/>
          <w:lang w:eastAsia="fr-TN"/>
          <w14:ligatures w14:val="none"/>
        </w:rPr>
        <w:t xml:space="preserve"> : +55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70AD0372"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Transferts courants entrants</w:t>
      </w:r>
      <w:r w:rsidRPr="0010672B">
        <w:rPr>
          <w:rFonts w:ascii="Times New Roman" w:eastAsia="Times New Roman" w:hAnsi="Times New Roman" w:cs="Times New Roman"/>
          <w:kern w:val="0"/>
          <w:sz w:val="24"/>
          <w:szCs w:val="24"/>
          <w:lang w:eastAsia="fr-TN"/>
          <w14:ligatures w14:val="none"/>
        </w:rPr>
        <w:t xml:space="preserve"> : +15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386A18D6"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Création d'une joint-venture à l'étranger</w:t>
      </w:r>
      <w:r w:rsidRPr="0010672B">
        <w:rPr>
          <w:rFonts w:ascii="Times New Roman" w:eastAsia="Times New Roman" w:hAnsi="Times New Roman" w:cs="Times New Roman"/>
          <w:kern w:val="0"/>
          <w:sz w:val="24"/>
          <w:szCs w:val="24"/>
          <w:lang w:eastAsia="fr-TN"/>
          <w14:ligatures w14:val="none"/>
        </w:rPr>
        <w:t xml:space="preserve"> : -25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59479D49"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Emprunt étranger</w:t>
      </w:r>
      <w:r w:rsidRPr="0010672B">
        <w:rPr>
          <w:rFonts w:ascii="Times New Roman" w:eastAsia="Times New Roman" w:hAnsi="Times New Roman" w:cs="Times New Roman"/>
          <w:kern w:val="0"/>
          <w:sz w:val="24"/>
          <w:szCs w:val="24"/>
          <w:lang w:eastAsia="fr-TN"/>
          <w14:ligatures w14:val="none"/>
        </w:rPr>
        <w:t xml:space="preserve"> : +30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2B69E7AA"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Exportations de biens</w:t>
      </w:r>
      <w:r w:rsidRPr="0010672B">
        <w:rPr>
          <w:rFonts w:ascii="Times New Roman" w:eastAsia="Times New Roman" w:hAnsi="Times New Roman" w:cs="Times New Roman"/>
          <w:kern w:val="0"/>
          <w:sz w:val="24"/>
          <w:szCs w:val="24"/>
          <w:lang w:eastAsia="fr-TN"/>
          <w14:ligatures w14:val="none"/>
        </w:rPr>
        <w:t xml:space="preserve"> : +180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18E93F0D"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Importations de services</w:t>
      </w:r>
      <w:r w:rsidRPr="0010672B">
        <w:rPr>
          <w:rFonts w:ascii="Times New Roman" w:eastAsia="Times New Roman" w:hAnsi="Times New Roman" w:cs="Times New Roman"/>
          <w:kern w:val="0"/>
          <w:sz w:val="24"/>
          <w:szCs w:val="24"/>
          <w:lang w:eastAsia="fr-TN"/>
          <w14:ligatures w14:val="none"/>
        </w:rPr>
        <w:t xml:space="preserve"> : -30 milliards de dollars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w:t>
      </w:r>
    </w:p>
    <w:p w14:paraId="4724847A"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Achat d'obligations étrangères</w:t>
      </w:r>
      <w:r w:rsidRPr="0010672B">
        <w:rPr>
          <w:rFonts w:ascii="Times New Roman" w:eastAsia="Times New Roman" w:hAnsi="Times New Roman" w:cs="Times New Roman"/>
          <w:kern w:val="0"/>
          <w:sz w:val="24"/>
          <w:szCs w:val="24"/>
          <w:lang w:eastAsia="fr-TN"/>
          <w14:ligatures w14:val="none"/>
        </w:rPr>
        <w:t xml:space="preserve"> : -20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5EFB2358" w14:textId="77777777" w:rsidR="0010672B" w:rsidRPr="0010672B" w:rsidRDefault="0010672B" w:rsidP="001067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directs étrangers entrants</w:t>
      </w:r>
      <w:r w:rsidRPr="0010672B">
        <w:rPr>
          <w:rFonts w:ascii="Times New Roman" w:eastAsia="Times New Roman" w:hAnsi="Times New Roman" w:cs="Times New Roman"/>
          <w:kern w:val="0"/>
          <w:sz w:val="24"/>
          <w:szCs w:val="24"/>
          <w:lang w:eastAsia="fr-TN"/>
          <w14:ligatures w14:val="none"/>
        </w:rPr>
        <w:t xml:space="preserve"> : +45 milliards de dollars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w:t>
      </w:r>
    </w:p>
    <w:p w14:paraId="6387DDCE"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Total des Transactions</w:t>
      </w:r>
    </w:p>
    <w:p w14:paraId="6E5504D2"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lastRenderedPageBreak/>
        <w:t>Transactions Courantes :</w:t>
      </w:r>
    </w:p>
    <w:p w14:paraId="4EA6D616"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 xml:space="preserve">Total des </w:t>
      </w:r>
      <w:r w:rsidRPr="0010672B">
        <w:rPr>
          <w:rFonts w:ascii="Times New Roman" w:eastAsia="Times New Roman" w:hAnsi="Times New Roman" w:cs="Times New Roman"/>
          <w:b/>
          <w:bCs/>
          <w:kern w:val="0"/>
          <w:sz w:val="24"/>
          <w:szCs w:val="24"/>
          <w:lang w:eastAsia="fr-TN"/>
          <w14:ligatures w14:val="none"/>
        </w:rPr>
        <w:t>exportations de biens</w:t>
      </w:r>
      <w:r w:rsidRPr="0010672B">
        <w:rPr>
          <w:rFonts w:ascii="Times New Roman" w:eastAsia="Times New Roman" w:hAnsi="Times New Roman" w:cs="Times New Roman"/>
          <w:kern w:val="0"/>
          <w:sz w:val="24"/>
          <w:szCs w:val="24"/>
          <w:lang w:eastAsia="fr-TN"/>
          <w14:ligatures w14:val="none"/>
        </w:rPr>
        <w:t xml:space="preserve"> : 150 + 180 = </w:t>
      </w:r>
      <w:r w:rsidRPr="0010672B">
        <w:rPr>
          <w:rFonts w:ascii="Times New Roman" w:eastAsia="Times New Roman" w:hAnsi="Times New Roman" w:cs="Times New Roman"/>
          <w:b/>
          <w:bCs/>
          <w:kern w:val="0"/>
          <w:sz w:val="24"/>
          <w:szCs w:val="24"/>
          <w:lang w:eastAsia="fr-TN"/>
          <w14:ligatures w14:val="none"/>
        </w:rPr>
        <w:t>+385 milliards de dollars</w:t>
      </w:r>
    </w:p>
    <w:p w14:paraId="716FF61C"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 xml:space="preserve">Total des </w:t>
      </w:r>
      <w:r w:rsidRPr="0010672B">
        <w:rPr>
          <w:rFonts w:ascii="Times New Roman" w:eastAsia="Times New Roman" w:hAnsi="Times New Roman" w:cs="Times New Roman"/>
          <w:b/>
          <w:bCs/>
          <w:kern w:val="0"/>
          <w:sz w:val="24"/>
          <w:szCs w:val="24"/>
          <w:lang w:eastAsia="fr-TN"/>
          <w14:ligatures w14:val="none"/>
        </w:rPr>
        <w:t>importations de biens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-120 milliards de dollars</w:t>
      </w:r>
    </w:p>
    <w:p w14:paraId="6F41947E"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 xml:space="preserve">Total des </w:t>
      </w:r>
      <w:r w:rsidRPr="0010672B">
        <w:rPr>
          <w:rFonts w:ascii="Times New Roman" w:eastAsia="Times New Roman" w:hAnsi="Times New Roman" w:cs="Times New Roman"/>
          <w:b/>
          <w:bCs/>
          <w:kern w:val="0"/>
          <w:sz w:val="24"/>
          <w:szCs w:val="24"/>
          <w:lang w:eastAsia="fr-TN"/>
          <w14:ligatures w14:val="none"/>
        </w:rPr>
        <w:t>importations de services</w:t>
      </w:r>
      <w:r w:rsidRPr="0010672B">
        <w:rPr>
          <w:rFonts w:ascii="Times New Roman" w:eastAsia="Times New Roman" w:hAnsi="Times New Roman" w:cs="Times New Roman"/>
          <w:kern w:val="0"/>
          <w:sz w:val="24"/>
          <w:szCs w:val="24"/>
          <w:lang w:eastAsia="fr-TN"/>
          <w14:ligatures w14:val="none"/>
        </w:rPr>
        <w:t xml:space="preserve"> : -40 - 30 = </w:t>
      </w:r>
      <w:r w:rsidRPr="0010672B">
        <w:rPr>
          <w:rFonts w:ascii="Times New Roman" w:eastAsia="Times New Roman" w:hAnsi="Times New Roman" w:cs="Times New Roman"/>
          <w:b/>
          <w:bCs/>
          <w:kern w:val="0"/>
          <w:sz w:val="24"/>
          <w:szCs w:val="24"/>
          <w:lang w:eastAsia="fr-TN"/>
          <w14:ligatures w14:val="none"/>
        </w:rPr>
        <w:t>-70 milliards de dollars</w:t>
      </w:r>
    </w:p>
    <w:p w14:paraId="41EA9D96"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Aide financière reçue</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+20 milliards de dollars</w:t>
      </w:r>
    </w:p>
    <w:p w14:paraId="60AC480D"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Transferts courants entrants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+15 milliards de dollars</w:t>
      </w:r>
    </w:p>
    <w:p w14:paraId="4C54FC47"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Transferts courants sortants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-25 milliards de dollars</w:t>
      </w:r>
    </w:p>
    <w:p w14:paraId="735F1CA9" w14:textId="77777777" w:rsidR="0010672B" w:rsidRPr="0010672B" w:rsidRDefault="0010672B" w:rsidP="001067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Solde commercial positif</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+30 milliards de dollars</w:t>
      </w:r>
    </w:p>
    <w:p w14:paraId="22DB7CAD"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Total des Transactions Courantes :</w:t>
      </w:r>
      <w:r w:rsidRPr="0010672B">
        <w:rPr>
          <w:rFonts w:ascii="Times New Roman" w:eastAsia="Times New Roman" w:hAnsi="Times New Roman" w:cs="Times New Roman"/>
          <w:kern w:val="0"/>
          <w:sz w:val="24"/>
          <w:szCs w:val="24"/>
          <w:lang w:eastAsia="fr-TN"/>
          <w14:ligatures w14:val="none"/>
        </w:rPr>
        <w:t xml:space="preserve"> 385 - 120 - 70 + 20 + 15 - 25 + 30 = </w:t>
      </w:r>
      <w:r w:rsidRPr="0010672B">
        <w:rPr>
          <w:rFonts w:ascii="Times New Roman" w:eastAsia="Times New Roman" w:hAnsi="Times New Roman" w:cs="Times New Roman"/>
          <w:b/>
          <w:bCs/>
          <w:kern w:val="0"/>
          <w:sz w:val="24"/>
          <w:szCs w:val="24"/>
          <w:lang w:eastAsia="fr-TN"/>
          <w14:ligatures w14:val="none"/>
        </w:rPr>
        <w:t>+215 milliards de dollars</w:t>
      </w:r>
    </w:p>
    <w:p w14:paraId="594AC74C"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Compte Financier :</w:t>
      </w:r>
    </w:p>
    <w:p w14:paraId="24CC8F45"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directs étrangers sortants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-60 milliards de dollars</w:t>
      </w:r>
    </w:p>
    <w:p w14:paraId="56A109AE"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Acquisition d'une entreprise étrangère</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-50 milliards de dollars</w:t>
      </w:r>
    </w:p>
    <w:p w14:paraId="7AFD3A37"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Remboursement d'un prêt étranger</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-15 milliards de dollars</w:t>
      </w:r>
    </w:p>
    <w:p w14:paraId="5FAF404C"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de portefeuille sortants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-35 milliards de dollars</w:t>
      </w:r>
    </w:p>
    <w:p w14:paraId="6142883D"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Solde du compte financier</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+5 milliards de dollars</w:t>
      </w:r>
    </w:p>
    <w:p w14:paraId="507163D3"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Création d'une joint-venture à l'étranger</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-25 milliards de dollars</w:t>
      </w:r>
    </w:p>
    <w:p w14:paraId="290F836D"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Emprunt étranger</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+30 milliards de dollars</w:t>
      </w:r>
    </w:p>
    <w:p w14:paraId="5331A40B"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Achat d'obligations étrangères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-20 milliards de dollars</w:t>
      </w:r>
    </w:p>
    <w:p w14:paraId="326F23B9" w14:textId="77777777" w:rsidR="0010672B" w:rsidRPr="0010672B" w:rsidRDefault="0010672B" w:rsidP="001067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Investissements directs étrangers entrants</w:t>
      </w:r>
      <w:r w:rsidRPr="0010672B">
        <w:rPr>
          <w:rFonts w:ascii="Times New Roman" w:eastAsia="Times New Roman" w:hAnsi="Times New Roman" w:cs="Times New Roman"/>
          <w:kern w:val="0"/>
          <w:sz w:val="24"/>
          <w:szCs w:val="24"/>
          <w:lang w:eastAsia="fr-TN"/>
          <w14:ligatures w14:val="none"/>
        </w:rPr>
        <w:t xml:space="preserve"> : </w:t>
      </w:r>
      <w:r w:rsidRPr="0010672B">
        <w:rPr>
          <w:rFonts w:ascii="Times New Roman" w:eastAsia="Times New Roman" w:hAnsi="Times New Roman" w:cs="Times New Roman"/>
          <w:b/>
          <w:bCs/>
          <w:kern w:val="0"/>
          <w:sz w:val="24"/>
          <w:szCs w:val="24"/>
          <w:lang w:eastAsia="fr-TN"/>
          <w14:ligatures w14:val="none"/>
        </w:rPr>
        <w:t>+45 milliards de dollars</w:t>
      </w:r>
    </w:p>
    <w:p w14:paraId="6CBA2EFF"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Total du Compte Financier :</w:t>
      </w:r>
      <w:r w:rsidRPr="0010672B">
        <w:rPr>
          <w:rFonts w:ascii="Times New Roman" w:eastAsia="Times New Roman" w:hAnsi="Times New Roman" w:cs="Times New Roman"/>
          <w:kern w:val="0"/>
          <w:sz w:val="24"/>
          <w:szCs w:val="24"/>
          <w:lang w:eastAsia="fr-TN"/>
          <w14:ligatures w14:val="none"/>
        </w:rPr>
        <w:t xml:space="preserve"> -60 - 50 - 15 - 35 + 5 - 25 + 30 - 20 + 45 = </w:t>
      </w:r>
      <w:r w:rsidRPr="0010672B">
        <w:rPr>
          <w:rFonts w:ascii="Times New Roman" w:eastAsia="Times New Roman" w:hAnsi="Times New Roman" w:cs="Times New Roman"/>
          <w:b/>
          <w:bCs/>
          <w:kern w:val="0"/>
          <w:sz w:val="24"/>
          <w:szCs w:val="24"/>
          <w:lang w:eastAsia="fr-TN"/>
          <w14:ligatures w14:val="none"/>
        </w:rPr>
        <w:t>-215 milliards de dollars</w:t>
      </w:r>
    </w:p>
    <w:p w14:paraId="3DA9CEB8"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Équilibre de la Balance des Paiements</w:t>
      </w:r>
    </w:p>
    <w:p w14:paraId="366C39D8"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La balance des paiements est équilibrée si le total des transactions courantes est égal au total du compte financier. Dans ce cas :</w:t>
      </w:r>
    </w:p>
    <w:p w14:paraId="70F3D481" w14:textId="77777777" w:rsidR="0010672B" w:rsidRPr="0010672B" w:rsidRDefault="0010672B" w:rsidP="001067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Total des transactions courantes :</w:t>
      </w:r>
      <w:r w:rsidRPr="0010672B">
        <w:rPr>
          <w:rFonts w:ascii="Times New Roman" w:eastAsia="Times New Roman" w:hAnsi="Times New Roman" w:cs="Times New Roman"/>
          <w:kern w:val="0"/>
          <w:sz w:val="24"/>
          <w:szCs w:val="24"/>
          <w:lang w:eastAsia="fr-TN"/>
          <w14:ligatures w14:val="none"/>
        </w:rPr>
        <w:t xml:space="preserve"> +215 milliards de dollars</w:t>
      </w:r>
    </w:p>
    <w:p w14:paraId="552C4C2D" w14:textId="77777777" w:rsidR="0010672B" w:rsidRPr="0010672B" w:rsidRDefault="0010672B" w:rsidP="001067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Total du compte financier :</w:t>
      </w:r>
      <w:r w:rsidRPr="0010672B">
        <w:rPr>
          <w:rFonts w:ascii="Times New Roman" w:eastAsia="Times New Roman" w:hAnsi="Times New Roman" w:cs="Times New Roman"/>
          <w:kern w:val="0"/>
          <w:sz w:val="24"/>
          <w:szCs w:val="24"/>
          <w:lang w:eastAsia="fr-TN"/>
          <w14:ligatures w14:val="none"/>
        </w:rPr>
        <w:t xml:space="preserve"> -215 milliards de dollars</w:t>
      </w:r>
    </w:p>
    <w:p w14:paraId="1F73492B"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Conclusion</w:t>
      </w:r>
    </w:p>
    <w:p w14:paraId="24CAC2E6"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La balance des paiements n'est pas équilibrée. Il s'agit d'un déséquilibre où :</w:t>
      </w:r>
    </w:p>
    <w:p w14:paraId="11A3C7F3" w14:textId="77777777" w:rsidR="0010672B" w:rsidRPr="0010672B" w:rsidRDefault="0010672B" w:rsidP="001067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 xml:space="preserve">Les </w:t>
      </w:r>
      <w:r w:rsidRPr="0010672B">
        <w:rPr>
          <w:rFonts w:ascii="Times New Roman" w:eastAsia="Times New Roman" w:hAnsi="Times New Roman" w:cs="Times New Roman"/>
          <w:b/>
          <w:bCs/>
          <w:kern w:val="0"/>
          <w:sz w:val="24"/>
          <w:szCs w:val="24"/>
          <w:lang w:eastAsia="fr-TN"/>
          <w14:ligatures w14:val="none"/>
        </w:rPr>
        <w:t>transactions courantes</w:t>
      </w:r>
      <w:r w:rsidRPr="0010672B">
        <w:rPr>
          <w:rFonts w:ascii="Times New Roman" w:eastAsia="Times New Roman" w:hAnsi="Times New Roman" w:cs="Times New Roman"/>
          <w:kern w:val="0"/>
          <w:sz w:val="24"/>
          <w:szCs w:val="24"/>
          <w:lang w:eastAsia="fr-TN"/>
          <w14:ligatures w14:val="none"/>
        </w:rPr>
        <w:t xml:space="preserve"> montrent un excédent de </w:t>
      </w:r>
      <w:r w:rsidRPr="0010672B">
        <w:rPr>
          <w:rFonts w:ascii="Times New Roman" w:eastAsia="Times New Roman" w:hAnsi="Times New Roman" w:cs="Times New Roman"/>
          <w:b/>
          <w:bCs/>
          <w:kern w:val="0"/>
          <w:sz w:val="24"/>
          <w:szCs w:val="24"/>
          <w:lang w:eastAsia="fr-TN"/>
          <w14:ligatures w14:val="none"/>
        </w:rPr>
        <w:t>+215 milliards de dollars</w:t>
      </w:r>
      <w:r w:rsidRPr="0010672B">
        <w:rPr>
          <w:rFonts w:ascii="Times New Roman" w:eastAsia="Times New Roman" w:hAnsi="Times New Roman" w:cs="Times New Roman"/>
          <w:kern w:val="0"/>
          <w:sz w:val="24"/>
          <w:szCs w:val="24"/>
          <w:lang w:eastAsia="fr-TN"/>
          <w14:ligatures w14:val="none"/>
        </w:rPr>
        <w:t>.</w:t>
      </w:r>
    </w:p>
    <w:p w14:paraId="14887AFF" w14:textId="35CFAB16" w:rsidR="0010672B" w:rsidRPr="0010672B" w:rsidRDefault="0010672B" w:rsidP="001067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 xml:space="preserve">Le </w:t>
      </w:r>
      <w:r w:rsidRPr="0010672B">
        <w:rPr>
          <w:rFonts w:ascii="Times New Roman" w:eastAsia="Times New Roman" w:hAnsi="Times New Roman" w:cs="Times New Roman"/>
          <w:b/>
          <w:bCs/>
          <w:kern w:val="0"/>
          <w:sz w:val="24"/>
          <w:szCs w:val="24"/>
          <w:lang w:eastAsia="fr-TN"/>
          <w14:ligatures w14:val="none"/>
        </w:rPr>
        <w:t>compte financier</w:t>
      </w:r>
      <w:r w:rsidRPr="0010672B">
        <w:rPr>
          <w:rFonts w:ascii="Times New Roman" w:eastAsia="Times New Roman" w:hAnsi="Times New Roman" w:cs="Times New Roman"/>
          <w:kern w:val="0"/>
          <w:sz w:val="24"/>
          <w:szCs w:val="24"/>
          <w:lang w:eastAsia="fr-TN"/>
          <w14:ligatures w14:val="none"/>
        </w:rPr>
        <w:t xml:space="preserve"> montre un déficit de </w:t>
      </w:r>
      <w:r w:rsidRPr="0010672B">
        <w:rPr>
          <w:rFonts w:ascii="Times New Roman" w:eastAsia="Times New Roman" w:hAnsi="Times New Roman" w:cs="Times New Roman"/>
          <w:b/>
          <w:bCs/>
          <w:kern w:val="0"/>
          <w:sz w:val="24"/>
          <w:szCs w:val="24"/>
          <w:lang w:eastAsia="fr-TN"/>
          <w14:ligatures w14:val="none"/>
        </w:rPr>
        <w:t>-215 milliards de dollars</w:t>
      </w:r>
    </w:p>
    <w:p w14:paraId="1A0EF2B6" w14:textId="2A30271F" w:rsidR="0010672B" w:rsidRPr="0010672B" w:rsidRDefault="0010672B" w:rsidP="0010672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Question 5:</w:t>
      </w:r>
    </w:p>
    <w:p w14:paraId="41C2B435" w14:textId="77777777" w:rsidR="0010672B" w:rsidRPr="0010672B" w:rsidRDefault="0010672B" w:rsidP="0010672B">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Analyse des opportunités d'arbitrage et de spéculation entre New York et Zurich</w:t>
      </w:r>
    </w:p>
    <w:p w14:paraId="65882AAC"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Pour répondre à votre question, nous allons d'abord analyser les opportunités d'arbitrage entre les deux marchés (New York et Zurich) et ensuite examiner la situation de spéculation.</w:t>
      </w:r>
    </w:p>
    <w:p w14:paraId="33D9E506" w14:textId="77777777" w:rsidR="0010672B" w:rsidRPr="0010672B" w:rsidRDefault="00000000" w:rsidP="0010672B">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5F61D234">
          <v:rect id="_x0000_i1036" style="width:0;height:1.5pt" o:hralign="center" o:hrstd="t" o:hr="t" fillcolor="#a0a0a0" stroked="f"/>
        </w:pict>
      </w:r>
    </w:p>
    <w:p w14:paraId="4933D72B" w14:textId="77777777" w:rsidR="0010672B" w:rsidRPr="0010672B" w:rsidRDefault="0010672B" w:rsidP="0010672B">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1. Arbitrage</w:t>
      </w:r>
    </w:p>
    <w:p w14:paraId="64D26B1B"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Cotations à New York (3 mois) :</w:t>
      </w:r>
    </w:p>
    <w:p w14:paraId="7763C685" w14:textId="77777777" w:rsidR="0010672B" w:rsidRPr="0010672B" w:rsidRDefault="0010672B" w:rsidP="001067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EUR/CHF = 1,5648 - 1,5716</w:t>
      </w:r>
    </w:p>
    <w:p w14:paraId="49C3C2BE" w14:textId="77777777" w:rsidR="0010672B" w:rsidRPr="0010672B" w:rsidRDefault="0010672B" w:rsidP="001067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lastRenderedPageBreak/>
        <w:t>CAD/CHF = 0,8297 - 0,8347</w:t>
      </w:r>
    </w:p>
    <w:p w14:paraId="7612D88C"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Cotations à Zurich (3 mois) :</w:t>
      </w:r>
    </w:p>
    <w:p w14:paraId="4C0A77C8" w14:textId="77777777" w:rsidR="0010672B" w:rsidRPr="0010672B" w:rsidRDefault="0010672B" w:rsidP="001067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CAD/CHF = 0,8375 - 0,8410</w:t>
      </w:r>
    </w:p>
    <w:p w14:paraId="48A2167D" w14:textId="77777777" w:rsidR="0010672B" w:rsidRPr="0010672B" w:rsidRDefault="0010672B" w:rsidP="001067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EUR/CHF = 1,5615 - 1,5630</w:t>
      </w:r>
    </w:p>
    <w:p w14:paraId="0D45834B" w14:textId="77777777" w:rsidR="0010672B" w:rsidRPr="0010672B" w:rsidRDefault="0010672B" w:rsidP="0010672B">
      <w:pPr>
        <w:spacing w:before="100" w:beforeAutospacing="1" w:after="100" w:afterAutospacing="1" w:line="240" w:lineRule="auto"/>
        <w:outlineLvl w:val="3"/>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Étapes pour réaliser l'arbitrage :</w:t>
      </w:r>
    </w:p>
    <w:p w14:paraId="3ECA8B78" w14:textId="77777777" w:rsidR="0010672B" w:rsidRPr="0010672B" w:rsidRDefault="0010672B" w:rsidP="001067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Vente de CHF à New York</w:t>
      </w:r>
      <w:r w:rsidRPr="0010672B">
        <w:rPr>
          <w:rFonts w:ascii="Times New Roman" w:eastAsia="Times New Roman" w:hAnsi="Times New Roman" w:cs="Times New Roman"/>
          <w:kern w:val="0"/>
          <w:sz w:val="24"/>
          <w:szCs w:val="24"/>
          <w:lang w:eastAsia="fr-TN"/>
          <w14:ligatures w14:val="none"/>
        </w:rPr>
        <w:t xml:space="preserve"> :</w:t>
      </w:r>
    </w:p>
    <w:p w14:paraId="7B554F69"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Vendez 1 million de CHF pour acheter des EUR au taux vendeur de 1,5716.</w:t>
      </w:r>
    </w:p>
    <w:p w14:paraId="12D460AA"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Montant en EUR = 1,000,000 / 1,5716 ≈ 636,800 EUR.</w:t>
      </w:r>
    </w:p>
    <w:p w14:paraId="788D146C" w14:textId="77777777" w:rsidR="0010672B" w:rsidRPr="0010672B" w:rsidRDefault="0010672B" w:rsidP="001067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Conversion des EUR en CAD à Zurich</w:t>
      </w:r>
      <w:r w:rsidRPr="0010672B">
        <w:rPr>
          <w:rFonts w:ascii="Times New Roman" w:eastAsia="Times New Roman" w:hAnsi="Times New Roman" w:cs="Times New Roman"/>
          <w:kern w:val="0"/>
          <w:sz w:val="24"/>
          <w:szCs w:val="24"/>
          <w:lang w:eastAsia="fr-TN"/>
          <w14:ligatures w14:val="none"/>
        </w:rPr>
        <w:t xml:space="preserve"> :</w:t>
      </w:r>
    </w:p>
    <w:p w14:paraId="57557C0D"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Achetez des CAD avec les EUR au taux acheteur de 1,5615.</w:t>
      </w:r>
    </w:p>
    <w:p w14:paraId="0584F2A4"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Montant en CAD = 636,800 * 1,5615 ≈ 993,000 CAD.</w:t>
      </w:r>
    </w:p>
    <w:p w14:paraId="585D30FA" w14:textId="77777777" w:rsidR="0010672B" w:rsidRPr="0010672B" w:rsidRDefault="0010672B" w:rsidP="001067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Vente de CAD à Zurich</w:t>
      </w:r>
      <w:r w:rsidRPr="0010672B">
        <w:rPr>
          <w:rFonts w:ascii="Times New Roman" w:eastAsia="Times New Roman" w:hAnsi="Times New Roman" w:cs="Times New Roman"/>
          <w:kern w:val="0"/>
          <w:sz w:val="24"/>
          <w:szCs w:val="24"/>
          <w:lang w:eastAsia="fr-TN"/>
          <w14:ligatures w14:val="none"/>
        </w:rPr>
        <w:t xml:space="preserve"> :</w:t>
      </w:r>
    </w:p>
    <w:p w14:paraId="0A2CD7E4"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Vendez les CAD au taux vendeur de 0,8410.</w:t>
      </w:r>
    </w:p>
    <w:p w14:paraId="7562FCF9" w14:textId="77777777" w:rsidR="0010672B" w:rsidRPr="0010672B" w:rsidRDefault="0010672B" w:rsidP="0010672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Montant en CHF = 993,000 * 0,8410 ≈ 834,000 CHF.</w:t>
      </w:r>
    </w:p>
    <w:p w14:paraId="718FD0AB" w14:textId="77777777" w:rsidR="0010672B" w:rsidRPr="0010672B" w:rsidRDefault="0010672B" w:rsidP="0010672B">
      <w:pPr>
        <w:spacing w:before="100" w:beforeAutospacing="1" w:after="100" w:afterAutospacing="1" w:line="240" w:lineRule="auto"/>
        <w:outlineLvl w:val="3"/>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Gain d'arbitrage :</w:t>
      </w:r>
    </w:p>
    <w:p w14:paraId="354525D6" w14:textId="77777777" w:rsidR="0010672B" w:rsidRPr="0010672B" w:rsidRDefault="0010672B" w:rsidP="001067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Gain = Montant final en CHF - Montant initial en CHF</w:t>
      </w:r>
    </w:p>
    <w:p w14:paraId="38C94401" w14:textId="77777777" w:rsidR="0010672B" w:rsidRPr="0010672B" w:rsidRDefault="0010672B" w:rsidP="001067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Gain = 834,000 - 1,000,000 = -166,000 CHF (perte).</w:t>
      </w:r>
    </w:p>
    <w:p w14:paraId="1C42BC39"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Conclusion sur l'arbitrage</w:t>
      </w:r>
      <w:r w:rsidRPr="0010672B">
        <w:rPr>
          <w:rFonts w:ascii="Times New Roman" w:eastAsia="Times New Roman" w:hAnsi="Times New Roman" w:cs="Times New Roman"/>
          <w:kern w:val="0"/>
          <w:sz w:val="24"/>
          <w:szCs w:val="24"/>
          <w:lang w:eastAsia="fr-TN"/>
          <w14:ligatures w14:val="none"/>
        </w:rPr>
        <w:t xml:space="preserve"> : Dans ce cas, il n’y a pas d’opportunité d’arbitrage profitable, car l’opération conduit à une perte nette.</w:t>
      </w:r>
    </w:p>
    <w:p w14:paraId="473B92B9" w14:textId="77777777" w:rsidR="0010672B" w:rsidRPr="0010672B" w:rsidRDefault="00000000" w:rsidP="0010672B">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46C9FF83">
          <v:rect id="_x0000_i1037" style="width:0;height:1.5pt" o:hralign="center" o:hrstd="t" o:hr="t" fillcolor="#a0a0a0" stroked="f"/>
        </w:pict>
      </w:r>
    </w:p>
    <w:p w14:paraId="5378B001" w14:textId="77777777" w:rsidR="0010672B" w:rsidRPr="0010672B" w:rsidRDefault="0010672B" w:rsidP="0010672B">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2. Spéculation</w:t>
      </w:r>
    </w:p>
    <w:p w14:paraId="5804E650"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Si vous anticipez un cours au comptant dans 3 mois égal à CAD/CHF : 0,8430 - 0,8445, vous pouvez prendre les décisions suivantes :</w:t>
      </w:r>
    </w:p>
    <w:p w14:paraId="4F045DA2" w14:textId="77777777" w:rsidR="0010672B" w:rsidRPr="0010672B" w:rsidRDefault="0010672B" w:rsidP="001067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Achat de CAD à Zurich</w:t>
      </w:r>
      <w:r w:rsidRPr="0010672B">
        <w:rPr>
          <w:rFonts w:ascii="Times New Roman" w:eastAsia="Times New Roman" w:hAnsi="Times New Roman" w:cs="Times New Roman"/>
          <w:kern w:val="0"/>
          <w:sz w:val="24"/>
          <w:szCs w:val="24"/>
          <w:lang w:eastAsia="fr-TN"/>
          <w14:ligatures w14:val="none"/>
        </w:rPr>
        <w:t xml:space="preserve"> :</w:t>
      </w:r>
    </w:p>
    <w:p w14:paraId="7588F022" w14:textId="77777777" w:rsidR="0010672B" w:rsidRPr="0010672B" w:rsidRDefault="0010672B" w:rsidP="0010672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Achetez 1 million de CAD au taux vendeur de 0,8410.</w:t>
      </w:r>
    </w:p>
    <w:p w14:paraId="217131DA" w14:textId="77777777" w:rsidR="0010672B" w:rsidRPr="0010672B" w:rsidRDefault="0010672B" w:rsidP="0010672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Montant en CHF = 1,000,000 * 0,8410 = 841,000 CHF.</w:t>
      </w:r>
    </w:p>
    <w:p w14:paraId="0E924872" w14:textId="77777777" w:rsidR="0010672B" w:rsidRPr="0010672B" w:rsidRDefault="0010672B" w:rsidP="001067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Vente de CAD au cours anticipé</w:t>
      </w:r>
      <w:r w:rsidRPr="0010672B">
        <w:rPr>
          <w:rFonts w:ascii="Times New Roman" w:eastAsia="Times New Roman" w:hAnsi="Times New Roman" w:cs="Times New Roman"/>
          <w:kern w:val="0"/>
          <w:sz w:val="24"/>
          <w:szCs w:val="24"/>
          <w:lang w:eastAsia="fr-TN"/>
          <w14:ligatures w14:val="none"/>
        </w:rPr>
        <w:t xml:space="preserve"> :</w:t>
      </w:r>
    </w:p>
    <w:p w14:paraId="1CF2057F" w14:textId="77777777" w:rsidR="0010672B" w:rsidRPr="0010672B" w:rsidRDefault="0010672B" w:rsidP="0010672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Vendez les CAD au taux anticipé de 0,8430.</w:t>
      </w:r>
    </w:p>
    <w:p w14:paraId="0BC9A8F0" w14:textId="77777777" w:rsidR="0010672B" w:rsidRPr="0010672B" w:rsidRDefault="0010672B" w:rsidP="0010672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Montant en CHF = 1,000,000 * 0,8430 = 843,000 CHF.</w:t>
      </w:r>
    </w:p>
    <w:p w14:paraId="5262C3D2" w14:textId="77777777" w:rsidR="0010672B" w:rsidRPr="0010672B" w:rsidRDefault="0010672B" w:rsidP="0010672B">
      <w:pPr>
        <w:spacing w:before="100" w:beforeAutospacing="1" w:after="100" w:afterAutospacing="1" w:line="240" w:lineRule="auto"/>
        <w:outlineLvl w:val="3"/>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Gain anticipé :</w:t>
      </w:r>
    </w:p>
    <w:p w14:paraId="31FF37D1" w14:textId="77777777" w:rsidR="0010672B" w:rsidRPr="0010672B" w:rsidRDefault="0010672B" w:rsidP="0010672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Gain = Montant final en CHF - Montant initial en CHF</w:t>
      </w:r>
    </w:p>
    <w:p w14:paraId="270D0F50" w14:textId="77777777" w:rsidR="0010672B" w:rsidRPr="0010672B" w:rsidRDefault="0010672B" w:rsidP="0010672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t>Gain = 843,000 - 841,000 = 2,000 CHF.</w:t>
      </w:r>
    </w:p>
    <w:p w14:paraId="3B11475B"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Conclusion sur la spéculation</w:t>
      </w:r>
      <w:r w:rsidRPr="0010672B">
        <w:rPr>
          <w:rFonts w:ascii="Times New Roman" w:eastAsia="Times New Roman" w:hAnsi="Times New Roman" w:cs="Times New Roman"/>
          <w:kern w:val="0"/>
          <w:sz w:val="24"/>
          <w:szCs w:val="24"/>
          <w:lang w:eastAsia="fr-TN"/>
          <w14:ligatures w14:val="none"/>
        </w:rPr>
        <w:t xml:space="preserve"> : La spéculation pourrait générer un gain modeste de 2,000 CHF, sous réserve que le cours anticipé se réalise.</w:t>
      </w:r>
    </w:p>
    <w:p w14:paraId="20EB38FD" w14:textId="77777777" w:rsidR="0010672B" w:rsidRPr="0010672B" w:rsidRDefault="00000000" w:rsidP="0010672B">
      <w:pPr>
        <w:spacing w:after="0" w:line="240" w:lineRule="auto"/>
        <w:rPr>
          <w:rFonts w:ascii="Times New Roman" w:eastAsia="Times New Roman" w:hAnsi="Times New Roman" w:cs="Times New Roman"/>
          <w:kern w:val="0"/>
          <w:sz w:val="24"/>
          <w:szCs w:val="24"/>
          <w:lang w:eastAsia="fr-TN"/>
          <w14:ligatures w14:val="none"/>
        </w:rPr>
      </w:pPr>
      <w:r>
        <w:rPr>
          <w:rFonts w:ascii="Times New Roman" w:eastAsia="Times New Roman" w:hAnsi="Times New Roman" w:cs="Times New Roman"/>
          <w:kern w:val="0"/>
          <w:sz w:val="24"/>
          <w:szCs w:val="24"/>
          <w:lang w:eastAsia="fr-TN"/>
          <w14:ligatures w14:val="none"/>
        </w:rPr>
        <w:pict w14:anchorId="4E5C30A3">
          <v:rect id="_x0000_i1038" style="width:0;height:1.5pt" o:hralign="center" o:hrstd="t" o:hr="t" fillcolor="#a0a0a0" stroked="f"/>
        </w:pict>
      </w:r>
    </w:p>
    <w:p w14:paraId="7AF60DF6" w14:textId="77777777" w:rsidR="0010672B" w:rsidRPr="0010672B" w:rsidRDefault="0010672B" w:rsidP="0010672B">
      <w:pPr>
        <w:spacing w:before="100" w:beforeAutospacing="1" w:after="100" w:afterAutospacing="1" w:line="240" w:lineRule="auto"/>
        <w:outlineLvl w:val="2"/>
        <w:rPr>
          <w:rFonts w:ascii="Times New Roman" w:eastAsia="Times New Roman" w:hAnsi="Times New Roman" w:cs="Times New Roman"/>
          <w:b/>
          <w:bCs/>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Résumé des résultats</w:t>
      </w:r>
    </w:p>
    <w:p w14:paraId="4C827E38" w14:textId="77777777" w:rsidR="0010672B" w:rsidRPr="0010672B" w:rsidRDefault="0010672B" w:rsidP="0010672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Gain d'arbitrage</w:t>
      </w:r>
      <w:r w:rsidRPr="0010672B">
        <w:rPr>
          <w:rFonts w:ascii="Times New Roman" w:eastAsia="Times New Roman" w:hAnsi="Times New Roman" w:cs="Times New Roman"/>
          <w:kern w:val="0"/>
          <w:sz w:val="24"/>
          <w:szCs w:val="24"/>
          <w:lang w:eastAsia="fr-TN"/>
          <w14:ligatures w14:val="none"/>
        </w:rPr>
        <w:t xml:space="preserve"> : -166,000 CHF (perte).</w:t>
      </w:r>
    </w:p>
    <w:p w14:paraId="4530FAE4" w14:textId="77777777" w:rsidR="0010672B" w:rsidRPr="0010672B" w:rsidRDefault="0010672B" w:rsidP="0010672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b/>
          <w:bCs/>
          <w:kern w:val="0"/>
          <w:sz w:val="24"/>
          <w:szCs w:val="24"/>
          <w:lang w:eastAsia="fr-TN"/>
          <w14:ligatures w14:val="none"/>
        </w:rPr>
        <w:t>Gain anticipé de spéculation</w:t>
      </w:r>
      <w:r w:rsidRPr="0010672B">
        <w:rPr>
          <w:rFonts w:ascii="Times New Roman" w:eastAsia="Times New Roman" w:hAnsi="Times New Roman" w:cs="Times New Roman"/>
          <w:kern w:val="0"/>
          <w:sz w:val="24"/>
          <w:szCs w:val="24"/>
          <w:lang w:eastAsia="fr-TN"/>
          <w14:ligatures w14:val="none"/>
        </w:rPr>
        <w:t xml:space="preserve"> : 2,000 CHF.</w:t>
      </w:r>
    </w:p>
    <w:p w14:paraId="0315E0C9"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10672B">
        <w:rPr>
          <w:rFonts w:ascii="Times New Roman" w:eastAsia="Times New Roman" w:hAnsi="Times New Roman" w:cs="Times New Roman"/>
          <w:kern w:val="0"/>
          <w:sz w:val="24"/>
          <w:szCs w:val="24"/>
          <w:lang w:eastAsia="fr-TN"/>
          <w14:ligatures w14:val="none"/>
        </w:rPr>
        <w:lastRenderedPageBreak/>
        <w:t>Ainsi, pour réaliser un profit, la spéculation basée sur une anticipation correcte du cours semble être une meilleure stratégie que l'arbitrage dans ce cas.</w:t>
      </w:r>
    </w:p>
    <w:p w14:paraId="49C019EE" w14:textId="158DB7CA" w:rsidR="00B451EB" w:rsidRPr="00B451EB" w:rsidRDefault="00B451EB" w:rsidP="00B451EB">
      <w:pPr>
        <w:spacing w:before="100" w:beforeAutospacing="1" w:after="100" w:afterAutospacing="1" w:line="240" w:lineRule="auto"/>
        <w:rPr>
          <w:rFonts w:ascii="Times New Roman" w:eastAsia="Times New Roman" w:hAnsi="Times New Roman" w:cs="Times New Roman"/>
          <w:b/>
          <w:bCs/>
          <w:kern w:val="0"/>
          <w:sz w:val="24"/>
          <w:szCs w:val="24"/>
          <w:lang w:eastAsia="fr-TN"/>
          <w14:ligatures w14:val="none"/>
        </w:rPr>
      </w:pPr>
      <w:r>
        <w:rPr>
          <w:rFonts w:ascii="Times New Roman" w:eastAsia="Times New Roman" w:hAnsi="Times New Roman" w:cs="Times New Roman"/>
          <w:b/>
          <w:bCs/>
          <w:kern w:val="0"/>
          <w:sz w:val="24"/>
          <w:szCs w:val="24"/>
          <w:lang w:eastAsia="fr-TN"/>
          <w14:ligatures w14:val="none"/>
        </w:rPr>
        <w:t>TD3</w:t>
      </w:r>
      <w:r w:rsidRPr="0010672B">
        <w:rPr>
          <w:rFonts w:ascii="Times New Roman" w:eastAsia="Times New Roman" w:hAnsi="Times New Roman" w:cs="Times New Roman"/>
          <w:b/>
          <w:bCs/>
          <w:kern w:val="0"/>
          <w:sz w:val="24"/>
          <w:szCs w:val="24"/>
          <w:lang w:eastAsia="fr-TN"/>
          <w14:ligatures w14:val="none"/>
        </w:rPr>
        <w:t>:</w:t>
      </w:r>
      <w:r w:rsidRPr="00B451EB">
        <w:rPr>
          <w:rFonts w:ascii="Times New Roman" w:eastAsia="Times New Roman" w:hAnsi="Times New Roman" w:cs="Times New Roman"/>
          <w:noProof/>
          <w:kern w:val="0"/>
          <w:sz w:val="24"/>
          <w:szCs w:val="24"/>
          <w:lang w:val="fr-TN" w:eastAsia="fr-TN"/>
          <w14:ligatures w14:val="none"/>
        </w:rPr>
        <mc:AlternateContent>
          <mc:Choice Requires="wps">
            <w:drawing>
              <wp:inline distT="0" distB="0" distL="0" distR="0" wp14:anchorId="67A2B712" wp14:editId="413A9DF2">
                <wp:extent cx="243840" cy="243840"/>
                <wp:effectExtent l="0" t="0" r="0" b="0"/>
                <wp:docPr id="1354136253" name="AutoShape 8"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10B12" id="AutoShape 8" o:spid="_x0000_s1026" alt="CopyIcon" style="width:19.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" filled="f" stroked="f">
                <o:lock v:ext="edit" aspectratio="t"/>
                <w10:anchorlock/>
              </v:rect>
            </w:pict>
          </mc:Fallback>
        </mc:AlternateContent>
      </w:r>
    </w:p>
    <w:p w14:paraId="69AFABE1" w14:textId="3780BC70" w:rsidR="00B451EB" w:rsidRPr="00B451EB" w:rsidRDefault="00B451EB" w:rsidP="00B451EB">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Pr>
          <w:rFonts w:ascii="Times New Roman" w:eastAsia="Times New Roman" w:hAnsi="Times New Roman" w:cs="Times New Roman"/>
          <w:kern w:val="0"/>
          <w:sz w:val="24"/>
          <w:szCs w:val="24"/>
          <w:lang w:val="fr-TN" w:eastAsia="fr-TN"/>
          <w14:ligatures w14:val="none"/>
        </w:rPr>
        <w:t>D</w:t>
      </w:r>
      <w:r w:rsidRPr="00B451EB">
        <w:rPr>
          <w:rFonts w:ascii="Times New Roman" w:eastAsia="Times New Roman" w:hAnsi="Times New Roman" w:cs="Times New Roman"/>
          <w:kern w:val="0"/>
          <w:sz w:val="24"/>
          <w:szCs w:val="24"/>
          <w:lang w:val="fr-TN" w:eastAsia="fr-TN"/>
          <w14:ligatures w14:val="none"/>
        </w:rPr>
        <w:t>éfinitions:</w:t>
      </w:r>
    </w:p>
    <w:p w14:paraId="1361D093" w14:textId="77777777" w:rsidR="00B451EB" w:rsidRPr="00B451EB" w:rsidRDefault="00B451EB" w:rsidP="00B451E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B451EB">
        <w:rPr>
          <w:rFonts w:ascii="Times New Roman" w:eastAsia="Times New Roman" w:hAnsi="Times New Roman" w:cs="Times New Roman"/>
          <w:b/>
          <w:bCs/>
          <w:kern w:val="0"/>
          <w:sz w:val="24"/>
          <w:szCs w:val="24"/>
          <w:lang w:val="fr-TN" w:eastAsia="fr-TN"/>
          <w14:ligatures w14:val="none"/>
        </w:rPr>
        <w:t>Commerce intrabranche</w:t>
      </w:r>
      <w:r w:rsidRPr="00B451EB">
        <w:rPr>
          <w:rFonts w:ascii="Times New Roman" w:eastAsia="Times New Roman" w:hAnsi="Times New Roman" w:cs="Times New Roman"/>
          <w:kern w:val="0"/>
          <w:sz w:val="24"/>
          <w:szCs w:val="24"/>
          <w:lang w:val="fr-TN" w:eastAsia="fr-TN"/>
          <w14:ligatures w14:val="none"/>
        </w:rPr>
        <w:t xml:space="preserve"> : Il s'agit des échanges de produits similaires au sein de la même industrie, comme des voitures de différentes marques. Ce type de commerce est fréquent entre des pays ayant des niveaux de développement comparables. Par exemple, la France exporte des voitures de luxe en Allemagne tout en important des voitures de sport allemandes .</w:t>
      </w:r>
    </w:p>
    <w:p w14:paraId="2A8B5838" w14:textId="77777777" w:rsidR="00B451EB" w:rsidRPr="00B451EB" w:rsidRDefault="00B451EB" w:rsidP="00B451E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B451EB">
        <w:rPr>
          <w:rFonts w:ascii="Times New Roman" w:eastAsia="Times New Roman" w:hAnsi="Times New Roman" w:cs="Times New Roman"/>
          <w:b/>
          <w:bCs/>
          <w:kern w:val="0"/>
          <w:sz w:val="24"/>
          <w:szCs w:val="24"/>
          <w:lang w:val="fr-TN" w:eastAsia="fr-TN"/>
          <w14:ligatures w14:val="none"/>
        </w:rPr>
        <w:t>Économie d'échelle interne technologique</w:t>
      </w:r>
      <w:r w:rsidRPr="00B451EB">
        <w:rPr>
          <w:rFonts w:ascii="Times New Roman" w:eastAsia="Times New Roman" w:hAnsi="Times New Roman" w:cs="Times New Roman"/>
          <w:kern w:val="0"/>
          <w:sz w:val="24"/>
          <w:szCs w:val="24"/>
          <w:lang w:val="fr-TN" w:eastAsia="fr-TN"/>
          <w14:ligatures w14:val="none"/>
        </w:rPr>
        <w:t xml:space="preserve"> : Ce concept fait référence aux réductions de coûts unitaires qui se produisent lorsque la production d'une entreprise augmente. Les économies d'échelle internes sont liées à des facteurs tels que l'efficacité accrue, l'utilisation optimale des ressources et l'innovation technologique au sein de l'entreprise. Lorsque ces économies d'échelle existent, les marchés peuvent devenir oligopolistiques ou même monopolistiques, car une seule firme peut dominer le marché en raison de ses coûts de production plus bas .</w:t>
      </w:r>
    </w:p>
    <w:p w14:paraId="3EC41464" w14:textId="77777777" w:rsidR="00B451EB" w:rsidRDefault="00B451EB" w:rsidP="00B451E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B451EB">
        <w:rPr>
          <w:rFonts w:ascii="Times New Roman" w:eastAsia="Times New Roman" w:hAnsi="Times New Roman" w:cs="Times New Roman"/>
          <w:b/>
          <w:bCs/>
          <w:kern w:val="0"/>
          <w:sz w:val="24"/>
          <w:szCs w:val="24"/>
          <w:lang w:val="fr-TN" w:eastAsia="fr-TN"/>
          <w14:ligatures w14:val="none"/>
        </w:rPr>
        <w:t>Concurrence monopolistique</w:t>
      </w:r>
      <w:r w:rsidRPr="00B451EB">
        <w:rPr>
          <w:rFonts w:ascii="Times New Roman" w:eastAsia="Times New Roman" w:hAnsi="Times New Roman" w:cs="Times New Roman"/>
          <w:kern w:val="0"/>
          <w:sz w:val="24"/>
          <w:szCs w:val="24"/>
          <w:lang w:val="fr-TN" w:eastAsia="fr-TN"/>
          <w14:ligatures w14:val="none"/>
        </w:rPr>
        <w:t xml:space="preserve"> : Ce terme désigne un type de marché où de nombreuses entreprises vendent des produits qui sont similaires mais non identiques. Dans ce cadre, chaque entreprise a un certain pouvoir de marché en raison de la différenciation de ses produits. Les modèles de concurrence monopolistique intègrent des éléments tels que la différenciation des produits et les économies d'échelle internes, et ils montrent que des pays similaires échangent des produits différenciés, augmentant ainsi le bien-être des consommateurs grâce à une plus grande variété de biens .</w:t>
      </w:r>
    </w:p>
    <w:p w14:paraId="63E0CD00" w14:textId="77777777" w:rsidR="007E7DE5" w:rsidRPr="00B451EB" w:rsidRDefault="007E7DE5" w:rsidP="007E7DE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
    <w:p w14:paraId="5A5FE6E7" w14:textId="77777777" w:rsidR="007E7DE5" w:rsidRDefault="007E7DE5" w:rsidP="007E7DE5">
      <w:pPr>
        <w:spacing w:before="100" w:beforeAutospacing="1" w:after="100" w:afterAutospacing="1" w:line="240" w:lineRule="auto"/>
        <w:rPr>
          <w:rFonts w:ascii="Times New Roman" w:eastAsia="Times New Roman" w:hAnsi="Times New Roman" w:cs="Times New Roman"/>
          <w:b/>
          <w:bCs/>
          <w:kern w:val="0"/>
          <w:sz w:val="24"/>
          <w:szCs w:val="24"/>
          <w:lang w:val="fr-TN" w:eastAsia="fr-TN"/>
          <w14:ligatures w14:val="none"/>
        </w:rPr>
      </w:pPr>
      <w:r w:rsidRPr="007E7DE5">
        <w:rPr>
          <w:rFonts w:ascii="Times New Roman" w:eastAsia="Times New Roman" w:hAnsi="Times New Roman" w:cs="Times New Roman"/>
          <w:b/>
          <w:bCs/>
          <w:kern w:val="0"/>
          <w:sz w:val="24"/>
          <w:szCs w:val="24"/>
          <w:lang w:val="fr-TN" w:eastAsia="fr-TN"/>
          <w14:ligatures w14:val="none"/>
        </w:rPr>
        <w:t>Théorème HOS</w:t>
      </w:r>
    </w:p>
    <w:p w14:paraId="22AA5CE2" w14:textId="180030E1" w:rsidR="007E7DE5" w:rsidRPr="007E7DE5" w:rsidRDefault="007E7DE5" w:rsidP="007E7DE5">
      <w:pPr>
        <w:spacing w:before="100" w:beforeAutospacing="1" w:after="100" w:afterAutospacing="1" w:line="240" w:lineRule="auto"/>
        <w:rPr>
          <w:rFonts w:ascii="Times New Roman" w:eastAsia="Times New Roman" w:hAnsi="Times New Roman" w:cs="Times New Roman"/>
          <w:b/>
          <w:bCs/>
          <w:kern w:val="0"/>
          <w:sz w:val="24"/>
          <w:szCs w:val="24"/>
          <w:lang w:val="fr-TN" w:eastAsia="fr-TN"/>
          <w14:ligatures w14:val="none"/>
        </w:rPr>
      </w:pPr>
      <w:r w:rsidRPr="007E7DE5">
        <w:rPr>
          <w:rFonts w:ascii="Times New Roman" w:eastAsia="Times New Roman" w:hAnsi="Times New Roman" w:cs="Times New Roman"/>
          <w:kern w:val="0"/>
          <w:sz w:val="24"/>
          <w:szCs w:val="24"/>
          <w:lang w:eastAsia="fr-TN"/>
          <w14:ligatures w14:val="none"/>
        </w:rPr>
        <w:t>Un pays exportera le produit qui utilise de manière relativement intensive le facteur dont il dispose en abondance relative.</w:t>
      </w:r>
    </w:p>
    <w:p w14:paraId="7C13AE34" w14:textId="7CBA0059" w:rsidR="0010672B" w:rsidRPr="0010672B" w:rsidRDefault="007E7DE5" w:rsidP="007E7DE5">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r w:rsidRPr="007E7DE5">
        <w:rPr>
          <w:rFonts w:ascii="Times New Roman" w:eastAsia="Times New Roman" w:hAnsi="Times New Roman" w:cs="Times New Roman"/>
          <w:kern w:val="0"/>
          <w:sz w:val="24"/>
          <w:szCs w:val="24"/>
          <w:lang w:eastAsia="fr-TN"/>
          <w14:ligatures w14:val="none"/>
        </w:rPr>
        <w:t>Un pays importera le produit qui utilise de manière relativement intensive le facteur qui est relativement rare dans ce pays.</w:t>
      </w:r>
    </w:p>
    <w:p w14:paraId="07218E43" w14:textId="77777777" w:rsidR="0010672B" w:rsidRPr="0010672B" w:rsidRDefault="0010672B" w:rsidP="0010672B">
      <w:pPr>
        <w:spacing w:before="100" w:beforeAutospacing="1" w:after="100" w:afterAutospacing="1" w:line="240" w:lineRule="auto"/>
        <w:rPr>
          <w:rFonts w:ascii="Times New Roman" w:eastAsia="Times New Roman" w:hAnsi="Times New Roman" w:cs="Times New Roman"/>
          <w:kern w:val="0"/>
          <w:sz w:val="24"/>
          <w:szCs w:val="24"/>
          <w:lang w:eastAsia="fr-TN"/>
          <w14:ligatures w14:val="none"/>
        </w:rPr>
      </w:pPr>
    </w:p>
    <w:p w14:paraId="41352FBE" w14:textId="77777777" w:rsidR="002563AF" w:rsidRPr="000E16D3" w:rsidRDefault="002563AF" w:rsidP="002563AF">
      <w:pPr>
        <w:spacing w:before="100" w:beforeAutospacing="1" w:after="100" w:afterAutospacing="1" w:line="240" w:lineRule="auto"/>
        <w:ind w:left="720"/>
        <w:rPr>
          <w:rFonts w:ascii="Times New Roman" w:eastAsia="Times New Roman" w:hAnsi="Times New Roman" w:cs="Times New Roman"/>
          <w:kern w:val="0"/>
          <w:sz w:val="24"/>
          <w:szCs w:val="24"/>
          <w:lang w:eastAsia="fr-TN"/>
          <w14:ligatures w14:val="none"/>
        </w:rPr>
      </w:pPr>
    </w:p>
    <w:sectPr w:rsidR="002563AF" w:rsidRPr="000E16D3" w:rsidSect="00106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270"/>
    <w:multiLevelType w:val="multilevel"/>
    <w:tmpl w:val="073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5E68"/>
    <w:multiLevelType w:val="multilevel"/>
    <w:tmpl w:val="FC40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35B9"/>
    <w:multiLevelType w:val="multilevel"/>
    <w:tmpl w:val="652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4A06"/>
    <w:multiLevelType w:val="multilevel"/>
    <w:tmpl w:val="0FEC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2EF8"/>
    <w:multiLevelType w:val="multilevel"/>
    <w:tmpl w:val="12A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313C"/>
    <w:multiLevelType w:val="multilevel"/>
    <w:tmpl w:val="22E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47549"/>
    <w:multiLevelType w:val="multilevel"/>
    <w:tmpl w:val="842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B198F"/>
    <w:multiLevelType w:val="multilevel"/>
    <w:tmpl w:val="71C6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32E8"/>
    <w:multiLevelType w:val="multilevel"/>
    <w:tmpl w:val="3B6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C7C47"/>
    <w:multiLevelType w:val="multilevel"/>
    <w:tmpl w:val="205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25C4D"/>
    <w:multiLevelType w:val="multilevel"/>
    <w:tmpl w:val="742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271"/>
    <w:multiLevelType w:val="multilevel"/>
    <w:tmpl w:val="AC5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51043"/>
    <w:multiLevelType w:val="multilevel"/>
    <w:tmpl w:val="2E1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65A56"/>
    <w:multiLevelType w:val="multilevel"/>
    <w:tmpl w:val="D354B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11C49"/>
    <w:multiLevelType w:val="multilevel"/>
    <w:tmpl w:val="90D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F2F67"/>
    <w:multiLevelType w:val="multilevel"/>
    <w:tmpl w:val="A0E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E36AB"/>
    <w:multiLevelType w:val="multilevel"/>
    <w:tmpl w:val="D9A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69BA"/>
    <w:multiLevelType w:val="multilevel"/>
    <w:tmpl w:val="90C8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C0FC9"/>
    <w:multiLevelType w:val="multilevel"/>
    <w:tmpl w:val="8D60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14744"/>
    <w:multiLevelType w:val="multilevel"/>
    <w:tmpl w:val="70B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D14F3"/>
    <w:multiLevelType w:val="multilevel"/>
    <w:tmpl w:val="B4B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85BF8"/>
    <w:multiLevelType w:val="multilevel"/>
    <w:tmpl w:val="0FE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53429"/>
    <w:multiLevelType w:val="multilevel"/>
    <w:tmpl w:val="713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049E7"/>
    <w:multiLevelType w:val="multilevel"/>
    <w:tmpl w:val="D2C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534B2"/>
    <w:multiLevelType w:val="multilevel"/>
    <w:tmpl w:val="779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F272E"/>
    <w:multiLevelType w:val="multilevel"/>
    <w:tmpl w:val="7B76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A707B"/>
    <w:multiLevelType w:val="multilevel"/>
    <w:tmpl w:val="E75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F3050"/>
    <w:multiLevelType w:val="multilevel"/>
    <w:tmpl w:val="59F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C609E"/>
    <w:multiLevelType w:val="multilevel"/>
    <w:tmpl w:val="CC9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95149"/>
    <w:multiLevelType w:val="multilevel"/>
    <w:tmpl w:val="688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64082"/>
    <w:multiLevelType w:val="multilevel"/>
    <w:tmpl w:val="D42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4330B"/>
    <w:multiLevelType w:val="multilevel"/>
    <w:tmpl w:val="C63C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630519">
    <w:abstractNumId w:val="28"/>
  </w:num>
  <w:num w:numId="2" w16cid:durableId="703360728">
    <w:abstractNumId w:val="20"/>
  </w:num>
  <w:num w:numId="3" w16cid:durableId="1155728559">
    <w:abstractNumId w:val="9"/>
  </w:num>
  <w:num w:numId="4" w16cid:durableId="410662472">
    <w:abstractNumId w:val="3"/>
  </w:num>
  <w:num w:numId="5" w16cid:durableId="118764227">
    <w:abstractNumId w:val="8"/>
  </w:num>
  <w:num w:numId="6" w16cid:durableId="948047883">
    <w:abstractNumId w:val="15"/>
  </w:num>
  <w:num w:numId="7" w16cid:durableId="66653386">
    <w:abstractNumId w:val="6"/>
  </w:num>
  <w:num w:numId="8" w16cid:durableId="176236506">
    <w:abstractNumId w:val="25"/>
  </w:num>
  <w:num w:numId="9" w16cid:durableId="1121924529">
    <w:abstractNumId w:val="5"/>
  </w:num>
  <w:num w:numId="10" w16cid:durableId="923339334">
    <w:abstractNumId w:val="30"/>
  </w:num>
  <w:num w:numId="11" w16cid:durableId="688794488">
    <w:abstractNumId w:val="22"/>
  </w:num>
  <w:num w:numId="12" w16cid:durableId="1616254807">
    <w:abstractNumId w:val="26"/>
  </w:num>
  <w:num w:numId="13" w16cid:durableId="1837111697">
    <w:abstractNumId w:val="10"/>
  </w:num>
  <w:num w:numId="14" w16cid:durableId="2033607535">
    <w:abstractNumId w:val="0"/>
  </w:num>
  <w:num w:numId="15" w16cid:durableId="1248807269">
    <w:abstractNumId w:val="11"/>
  </w:num>
  <w:num w:numId="16" w16cid:durableId="1074400345">
    <w:abstractNumId w:val="17"/>
  </w:num>
  <w:num w:numId="17" w16cid:durableId="1501391209">
    <w:abstractNumId w:val="24"/>
  </w:num>
  <w:num w:numId="18" w16cid:durableId="1862283345">
    <w:abstractNumId w:val="12"/>
  </w:num>
  <w:num w:numId="19" w16cid:durableId="2113545785">
    <w:abstractNumId w:val="2"/>
  </w:num>
  <w:num w:numId="20" w16cid:durableId="926230879">
    <w:abstractNumId w:val="1"/>
  </w:num>
  <w:num w:numId="21" w16cid:durableId="1595625589">
    <w:abstractNumId w:val="21"/>
  </w:num>
  <w:num w:numId="22" w16cid:durableId="1294402544">
    <w:abstractNumId w:val="23"/>
  </w:num>
  <w:num w:numId="23" w16cid:durableId="369959941">
    <w:abstractNumId w:val="19"/>
  </w:num>
  <w:num w:numId="24" w16cid:durableId="2100298024">
    <w:abstractNumId w:val="4"/>
  </w:num>
  <w:num w:numId="25" w16cid:durableId="637760133">
    <w:abstractNumId w:val="29"/>
  </w:num>
  <w:num w:numId="26" w16cid:durableId="1890872507">
    <w:abstractNumId w:val="16"/>
  </w:num>
  <w:num w:numId="27" w16cid:durableId="8336214">
    <w:abstractNumId w:val="31"/>
  </w:num>
  <w:num w:numId="28" w16cid:durableId="802115668">
    <w:abstractNumId w:val="14"/>
  </w:num>
  <w:num w:numId="29" w16cid:durableId="1272012227">
    <w:abstractNumId w:val="13"/>
  </w:num>
  <w:num w:numId="30" w16cid:durableId="1374574189">
    <w:abstractNumId w:val="18"/>
  </w:num>
  <w:num w:numId="31" w16cid:durableId="1942296900">
    <w:abstractNumId w:val="27"/>
  </w:num>
  <w:num w:numId="32" w16cid:durableId="1608006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D3"/>
    <w:rsid w:val="00026291"/>
    <w:rsid w:val="00087917"/>
    <w:rsid w:val="000E16D3"/>
    <w:rsid w:val="0010672B"/>
    <w:rsid w:val="002563AF"/>
    <w:rsid w:val="0035345D"/>
    <w:rsid w:val="0040336D"/>
    <w:rsid w:val="00450F75"/>
    <w:rsid w:val="004A1B83"/>
    <w:rsid w:val="006A4ABC"/>
    <w:rsid w:val="007E7DE5"/>
    <w:rsid w:val="00813885"/>
    <w:rsid w:val="008769D9"/>
    <w:rsid w:val="00B451EB"/>
    <w:rsid w:val="00C12EE7"/>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2640"/>
  <w15:chartTrackingRefBased/>
  <w15:docId w15:val="{53F7943B-96E7-4E24-9BA2-72B8E29A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1EB"/>
  </w:style>
  <w:style w:type="paragraph" w:styleId="Heading1">
    <w:name w:val="heading 1"/>
    <w:basedOn w:val="Normal"/>
    <w:next w:val="Normal"/>
    <w:link w:val="Heading1Char"/>
    <w:uiPriority w:val="9"/>
    <w:qFormat/>
    <w:rsid w:val="000E1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D3"/>
    <w:rPr>
      <w:rFonts w:eastAsiaTheme="majorEastAsia" w:cstheme="majorBidi"/>
      <w:color w:val="272727" w:themeColor="text1" w:themeTint="D8"/>
    </w:rPr>
  </w:style>
  <w:style w:type="paragraph" w:styleId="Title">
    <w:name w:val="Title"/>
    <w:basedOn w:val="Normal"/>
    <w:next w:val="Normal"/>
    <w:link w:val="TitleChar"/>
    <w:uiPriority w:val="10"/>
    <w:qFormat/>
    <w:rsid w:val="000E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6D3"/>
    <w:pPr>
      <w:spacing w:before="160"/>
      <w:jc w:val="center"/>
    </w:pPr>
    <w:rPr>
      <w:i/>
      <w:iCs/>
      <w:color w:val="404040" w:themeColor="text1" w:themeTint="BF"/>
    </w:rPr>
  </w:style>
  <w:style w:type="character" w:customStyle="1" w:styleId="QuoteChar">
    <w:name w:val="Quote Char"/>
    <w:basedOn w:val="DefaultParagraphFont"/>
    <w:link w:val="Quote"/>
    <w:uiPriority w:val="29"/>
    <w:rsid w:val="000E16D3"/>
    <w:rPr>
      <w:i/>
      <w:iCs/>
      <w:color w:val="404040" w:themeColor="text1" w:themeTint="BF"/>
    </w:rPr>
  </w:style>
  <w:style w:type="paragraph" w:styleId="ListParagraph">
    <w:name w:val="List Paragraph"/>
    <w:basedOn w:val="Normal"/>
    <w:uiPriority w:val="34"/>
    <w:qFormat/>
    <w:rsid w:val="000E16D3"/>
    <w:pPr>
      <w:ind w:left="720"/>
      <w:contextualSpacing/>
    </w:pPr>
  </w:style>
  <w:style w:type="character" w:styleId="IntenseEmphasis">
    <w:name w:val="Intense Emphasis"/>
    <w:basedOn w:val="DefaultParagraphFont"/>
    <w:uiPriority w:val="21"/>
    <w:qFormat/>
    <w:rsid w:val="000E16D3"/>
    <w:rPr>
      <w:i/>
      <w:iCs/>
      <w:color w:val="2F5496" w:themeColor="accent1" w:themeShade="BF"/>
    </w:rPr>
  </w:style>
  <w:style w:type="paragraph" w:styleId="IntenseQuote">
    <w:name w:val="Intense Quote"/>
    <w:basedOn w:val="Normal"/>
    <w:next w:val="Normal"/>
    <w:link w:val="IntenseQuoteChar"/>
    <w:uiPriority w:val="30"/>
    <w:qFormat/>
    <w:rsid w:val="000E1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6D3"/>
    <w:rPr>
      <w:i/>
      <w:iCs/>
      <w:color w:val="2F5496" w:themeColor="accent1" w:themeShade="BF"/>
    </w:rPr>
  </w:style>
  <w:style w:type="character" w:styleId="IntenseReference">
    <w:name w:val="Intense Reference"/>
    <w:basedOn w:val="DefaultParagraphFont"/>
    <w:uiPriority w:val="32"/>
    <w:qFormat/>
    <w:rsid w:val="000E1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3062">
      <w:bodyDiv w:val="1"/>
      <w:marLeft w:val="0"/>
      <w:marRight w:val="0"/>
      <w:marTop w:val="0"/>
      <w:marBottom w:val="0"/>
      <w:divBdr>
        <w:top w:val="none" w:sz="0" w:space="0" w:color="auto"/>
        <w:left w:val="none" w:sz="0" w:space="0" w:color="auto"/>
        <w:bottom w:val="none" w:sz="0" w:space="0" w:color="auto"/>
        <w:right w:val="none" w:sz="0" w:space="0" w:color="auto"/>
      </w:divBdr>
    </w:div>
    <w:div w:id="219874551">
      <w:bodyDiv w:val="1"/>
      <w:marLeft w:val="0"/>
      <w:marRight w:val="0"/>
      <w:marTop w:val="0"/>
      <w:marBottom w:val="0"/>
      <w:divBdr>
        <w:top w:val="none" w:sz="0" w:space="0" w:color="auto"/>
        <w:left w:val="none" w:sz="0" w:space="0" w:color="auto"/>
        <w:bottom w:val="none" w:sz="0" w:space="0" w:color="auto"/>
        <w:right w:val="none" w:sz="0" w:space="0" w:color="auto"/>
      </w:divBdr>
      <w:divsChild>
        <w:div w:id="685860711">
          <w:marLeft w:val="0"/>
          <w:marRight w:val="0"/>
          <w:marTop w:val="0"/>
          <w:marBottom w:val="0"/>
          <w:divBdr>
            <w:top w:val="none" w:sz="0" w:space="0" w:color="auto"/>
            <w:left w:val="none" w:sz="0" w:space="0" w:color="auto"/>
            <w:bottom w:val="none" w:sz="0" w:space="0" w:color="auto"/>
            <w:right w:val="none" w:sz="0" w:space="0" w:color="auto"/>
          </w:divBdr>
        </w:div>
        <w:div w:id="2140493267">
          <w:marLeft w:val="0"/>
          <w:marRight w:val="0"/>
          <w:marTop w:val="0"/>
          <w:marBottom w:val="0"/>
          <w:divBdr>
            <w:top w:val="none" w:sz="0" w:space="0" w:color="auto"/>
            <w:left w:val="none" w:sz="0" w:space="0" w:color="auto"/>
            <w:bottom w:val="none" w:sz="0" w:space="0" w:color="auto"/>
            <w:right w:val="none" w:sz="0" w:space="0" w:color="auto"/>
          </w:divBdr>
        </w:div>
        <w:div w:id="1422525666">
          <w:marLeft w:val="0"/>
          <w:marRight w:val="0"/>
          <w:marTop w:val="0"/>
          <w:marBottom w:val="0"/>
          <w:divBdr>
            <w:top w:val="none" w:sz="0" w:space="0" w:color="auto"/>
            <w:left w:val="none" w:sz="0" w:space="0" w:color="auto"/>
            <w:bottom w:val="none" w:sz="0" w:space="0" w:color="auto"/>
            <w:right w:val="none" w:sz="0" w:space="0" w:color="auto"/>
          </w:divBdr>
        </w:div>
      </w:divsChild>
    </w:div>
    <w:div w:id="244651745">
      <w:bodyDiv w:val="1"/>
      <w:marLeft w:val="0"/>
      <w:marRight w:val="0"/>
      <w:marTop w:val="0"/>
      <w:marBottom w:val="0"/>
      <w:divBdr>
        <w:top w:val="none" w:sz="0" w:space="0" w:color="auto"/>
        <w:left w:val="none" w:sz="0" w:space="0" w:color="auto"/>
        <w:bottom w:val="none" w:sz="0" w:space="0" w:color="auto"/>
        <w:right w:val="none" w:sz="0" w:space="0" w:color="auto"/>
      </w:divBdr>
      <w:divsChild>
        <w:div w:id="286156988">
          <w:marLeft w:val="0"/>
          <w:marRight w:val="0"/>
          <w:marTop w:val="0"/>
          <w:marBottom w:val="0"/>
          <w:divBdr>
            <w:top w:val="none" w:sz="0" w:space="0" w:color="auto"/>
            <w:left w:val="none" w:sz="0" w:space="0" w:color="auto"/>
            <w:bottom w:val="none" w:sz="0" w:space="0" w:color="auto"/>
            <w:right w:val="none" w:sz="0" w:space="0" w:color="auto"/>
          </w:divBdr>
          <w:divsChild>
            <w:div w:id="383717638">
              <w:marLeft w:val="0"/>
              <w:marRight w:val="0"/>
              <w:marTop w:val="0"/>
              <w:marBottom w:val="0"/>
              <w:divBdr>
                <w:top w:val="none" w:sz="0" w:space="0" w:color="auto"/>
                <w:left w:val="none" w:sz="0" w:space="0" w:color="auto"/>
                <w:bottom w:val="none" w:sz="0" w:space="0" w:color="auto"/>
                <w:right w:val="none" w:sz="0" w:space="0" w:color="auto"/>
              </w:divBdr>
              <w:divsChild>
                <w:div w:id="1923836186">
                  <w:marLeft w:val="0"/>
                  <w:marRight w:val="-90"/>
                  <w:marTop w:val="0"/>
                  <w:marBottom w:val="0"/>
                  <w:divBdr>
                    <w:top w:val="none" w:sz="0" w:space="0" w:color="auto"/>
                    <w:left w:val="none" w:sz="0" w:space="0" w:color="auto"/>
                    <w:bottom w:val="none" w:sz="0" w:space="0" w:color="auto"/>
                    <w:right w:val="none" w:sz="0" w:space="0" w:color="auto"/>
                  </w:divBdr>
                </w:div>
                <w:div w:id="1460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0080">
      <w:bodyDiv w:val="1"/>
      <w:marLeft w:val="0"/>
      <w:marRight w:val="0"/>
      <w:marTop w:val="0"/>
      <w:marBottom w:val="0"/>
      <w:divBdr>
        <w:top w:val="none" w:sz="0" w:space="0" w:color="auto"/>
        <w:left w:val="none" w:sz="0" w:space="0" w:color="auto"/>
        <w:bottom w:val="none" w:sz="0" w:space="0" w:color="auto"/>
        <w:right w:val="none" w:sz="0" w:space="0" w:color="auto"/>
      </w:divBdr>
      <w:divsChild>
        <w:div w:id="51118684">
          <w:marLeft w:val="0"/>
          <w:marRight w:val="0"/>
          <w:marTop w:val="0"/>
          <w:marBottom w:val="0"/>
          <w:divBdr>
            <w:top w:val="none" w:sz="0" w:space="0" w:color="auto"/>
            <w:left w:val="none" w:sz="0" w:space="0" w:color="auto"/>
            <w:bottom w:val="none" w:sz="0" w:space="0" w:color="auto"/>
            <w:right w:val="none" w:sz="0" w:space="0" w:color="auto"/>
          </w:divBdr>
          <w:divsChild>
            <w:div w:id="1511140709">
              <w:marLeft w:val="0"/>
              <w:marRight w:val="0"/>
              <w:marTop w:val="0"/>
              <w:marBottom w:val="0"/>
              <w:divBdr>
                <w:top w:val="none" w:sz="0" w:space="0" w:color="auto"/>
                <w:left w:val="none" w:sz="0" w:space="0" w:color="auto"/>
                <w:bottom w:val="none" w:sz="0" w:space="0" w:color="auto"/>
                <w:right w:val="none" w:sz="0" w:space="0" w:color="auto"/>
              </w:divBdr>
              <w:divsChild>
                <w:div w:id="1934972595">
                  <w:marLeft w:val="0"/>
                  <w:marRight w:val="-90"/>
                  <w:marTop w:val="0"/>
                  <w:marBottom w:val="0"/>
                  <w:divBdr>
                    <w:top w:val="none" w:sz="0" w:space="0" w:color="auto"/>
                    <w:left w:val="none" w:sz="0" w:space="0" w:color="auto"/>
                    <w:bottom w:val="none" w:sz="0" w:space="0" w:color="auto"/>
                    <w:right w:val="none" w:sz="0" w:space="0" w:color="auto"/>
                  </w:divBdr>
                </w:div>
                <w:div w:id="10244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6958">
      <w:bodyDiv w:val="1"/>
      <w:marLeft w:val="0"/>
      <w:marRight w:val="0"/>
      <w:marTop w:val="0"/>
      <w:marBottom w:val="0"/>
      <w:divBdr>
        <w:top w:val="none" w:sz="0" w:space="0" w:color="auto"/>
        <w:left w:val="none" w:sz="0" w:space="0" w:color="auto"/>
        <w:bottom w:val="none" w:sz="0" w:space="0" w:color="auto"/>
        <w:right w:val="none" w:sz="0" w:space="0" w:color="auto"/>
      </w:divBdr>
      <w:divsChild>
        <w:div w:id="364601605">
          <w:marLeft w:val="0"/>
          <w:marRight w:val="0"/>
          <w:marTop w:val="0"/>
          <w:marBottom w:val="0"/>
          <w:divBdr>
            <w:top w:val="none" w:sz="0" w:space="0" w:color="auto"/>
            <w:left w:val="none" w:sz="0" w:space="0" w:color="auto"/>
            <w:bottom w:val="none" w:sz="0" w:space="0" w:color="auto"/>
            <w:right w:val="none" w:sz="0" w:space="0" w:color="auto"/>
          </w:divBdr>
        </w:div>
        <w:div w:id="1578202094">
          <w:marLeft w:val="0"/>
          <w:marRight w:val="0"/>
          <w:marTop w:val="0"/>
          <w:marBottom w:val="0"/>
          <w:divBdr>
            <w:top w:val="none" w:sz="0" w:space="0" w:color="auto"/>
            <w:left w:val="none" w:sz="0" w:space="0" w:color="auto"/>
            <w:bottom w:val="none" w:sz="0" w:space="0" w:color="auto"/>
            <w:right w:val="none" w:sz="0" w:space="0" w:color="auto"/>
          </w:divBdr>
        </w:div>
        <w:div w:id="1699500606">
          <w:marLeft w:val="0"/>
          <w:marRight w:val="0"/>
          <w:marTop w:val="0"/>
          <w:marBottom w:val="0"/>
          <w:divBdr>
            <w:top w:val="none" w:sz="0" w:space="0" w:color="auto"/>
            <w:left w:val="none" w:sz="0" w:space="0" w:color="auto"/>
            <w:bottom w:val="none" w:sz="0" w:space="0" w:color="auto"/>
            <w:right w:val="none" w:sz="0" w:space="0" w:color="auto"/>
          </w:divBdr>
        </w:div>
        <w:div w:id="1906867561">
          <w:marLeft w:val="0"/>
          <w:marRight w:val="0"/>
          <w:marTop w:val="0"/>
          <w:marBottom w:val="0"/>
          <w:divBdr>
            <w:top w:val="none" w:sz="0" w:space="0" w:color="auto"/>
            <w:left w:val="none" w:sz="0" w:space="0" w:color="auto"/>
            <w:bottom w:val="none" w:sz="0" w:space="0" w:color="auto"/>
            <w:right w:val="none" w:sz="0" w:space="0" w:color="auto"/>
          </w:divBdr>
        </w:div>
      </w:divsChild>
    </w:div>
    <w:div w:id="1286503469">
      <w:bodyDiv w:val="1"/>
      <w:marLeft w:val="0"/>
      <w:marRight w:val="0"/>
      <w:marTop w:val="0"/>
      <w:marBottom w:val="0"/>
      <w:divBdr>
        <w:top w:val="none" w:sz="0" w:space="0" w:color="auto"/>
        <w:left w:val="none" w:sz="0" w:space="0" w:color="auto"/>
        <w:bottom w:val="none" w:sz="0" w:space="0" w:color="auto"/>
        <w:right w:val="none" w:sz="0" w:space="0" w:color="auto"/>
      </w:divBdr>
      <w:divsChild>
        <w:div w:id="1191259541">
          <w:marLeft w:val="0"/>
          <w:marRight w:val="0"/>
          <w:marTop w:val="0"/>
          <w:marBottom w:val="0"/>
          <w:divBdr>
            <w:top w:val="none" w:sz="0" w:space="0" w:color="auto"/>
            <w:left w:val="none" w:sz="0" w:space="0" w:color="auto"/>
            <w:bottom w:val="none" w:sz="0" w:space="0" w:color="auto"/>
            <w:right w:val="none" w:sz="0" w:space="0" w:color="auto"/>
          </w:divBdr>
        </w:div>
        <w:div w:id="890117453">
          <w:marLeft w:val="0"/>
          <w:marRight w:val="0"/>
          <w:marTop w:val="0"/>
          <w:marBottom w:val="0"/>
          <w:divBdr>
            <w:top w:val="none" w:sz="0" w:space="0" w:color="auto"/>
            <w:left w:val="none" w:sz="0" w:space="0" w:color="auto"/>
            <w:bottom w:val="none" w:sz="0" w:space="0" w:color="auto"/>
            <w:right w:val="none" w:sz="0" w:space="0" w:color="auto"/>
          </w:divBdr>
        </w:div>
        <w:div w:id="710303924">
          <w:marLeft w:val="0"/>
          <w:marRight w:val="0"/>
          <w:marTop w:val="0"/>
          <w:marBottom w:val="0"/>
          <w:divBdr>
            <w:top w:val="none" w:sz="0" w:space="0" w:color="auto"/>
            <w:left w:val="none" w:sz="0" w:space="0" w:color="auto"/>
            <w:bottom w:val="none" w:sz="0" w:space="0" w:color="auto"/>
            <w:right w:val="none" w:sz="0" w:space="0" w:color="auto"/>
          </w:divBdr>
        </w:div>
        <w:div w:id="1279529587">
          <w:marLeft w:val="0"/>
          <w:marRight w:val="0"/>
          <w:marTop w:val="0"/>
          <w:marBottom w:val="0"/>
          <w:divBdr>
            <w:top w:val="none" w:sz="0" w:space="0" w:color="auto"/>
            <w:left w:val="none" w:sz="0" w:space="0" w:color="auto"/>
            <w:bottom w:val="none" w:sz="0" w:space="0" w:color="auto"/>
            <w:right w:val="none" w:sz="0" w:space="0" w:color="auto"/>
          </w:divBdr>
        </w:div>
        <w:div w:id="1498693740">
          <w:marLeft w:val="0"/>
          <w:marRight w:val="0"/>
          <w:marTop w:val="0"/>
          <w:marBottom w:val="0"/>
          <w:divBdr>
            <w:top w:val="none" w:sz="0" w:space="0" w:color="auto"/>
            <w:left w:val="none" w:sz="0" w:space="0" w:color="auto"/>
            <w:bottom w:val="none" w:sz="0" w:space="0" w:color="auto"/>
            <w:right w:val="none" w:sz="0" w:space="0" w:color="auto"/>
          </w:divBdr>
        </w:div>
        <w:div w:id="805582589">
          <w:marLeft w:val="0"/>
          <w:marRight w:val="0"/>
          <w:marTop w:val="0"/>
          <w:marBottom w:val="0"/>
          <w:divBdr>
            <w:top w:val="none" w:sz="0" w:space="0" w:color="auto"/>
            <w:left w:val="none" w:sz="0" w:space="0" w:color="auto"/>
            <w:bottom w:val="none" w:sz="0" w:space="0" w:color="auto"/>
            <w:right w:val="none" w:sz="0" w:space="0" w:color="auto"/>
          </w:divBdr>
        </w:div>
        <w:div w:id="222495242">
          <w:marLeft w:val="0"/>
          <w:marRight w:val="0"/>
          <w:marTop w:val="0"/>
          <w:marBottom w:val="0"/>
          <w:divBdr>
            <w:top w:val="none" w:sz="0" w:space="0" w:color="auto"/>
            <w:left w:val="none" w:sz="0" w:space="0" w:color="auto"/>
            <w:bottom w:val="none" w:sz="0" w:space="0" w:color="auto"/>
            <w:right w:val="none" w:sz="0" w:space="0" w:color="auto"/>
          </w:divBdr>
        </w:div>
      </w:divsChild>
    </w:div>
    <w:div w:id="1325934322">
      <w:bodyDiv w:val="1"/>
      <w:marLeft w:val="0"/>
      <w:marRight w:val="0"/>
      <w:marTop w:val="0"/>
      <w:marBottom w:val="0"/>
      <w:divBdr>
        <w:top w:val="none" w:sz="0" w:space="0" w:color="auto"/>
        <w:left w:val="none" w:sz="0" w:space="0" w:color="auto"/>
        <w:bottom w:val="none" w:sz="0" w:space="0" w:color="auto"/>
        <w:right w:val="none" w:sz="0" w:space="0" w:color="auto"/>
      </w:divBdr>
    </w:div>
    <w:div w:id="1366757574">
      <w:bodyDiv w:val="1"/>
      <w:marLeft w:val="0"/>
      <w:marRight w:val="0"/>
      <w:marTop w:val="0"/>
      <w:marBottom w:val="0"/>
      <w:divBdr>
        <w:top w:val="none" w:sz="0" w:space="0" w:color="auto"/>
        <w:left w:val="none" w:sz="0" w:space="0" w:color="auto"/>
        <w:bottom w:val="none" w:sz="0" w:space="0" w:color="auto"/>
        <w:right w:val="none" w:sz="0" w:space="0" w:color="auto"/>
      </w:divBdr>
      <w:divsChild>
        <w:div w:id="81802531">
          <w:marLeft w:val="0"/>
          <w:marRight w:val="0"/>
          <w:marTop w:val="0"/>
          <w:marBottom w:val="0"/>
          <w:divBdr>
            <w:top w:val="none" w:sz="0" w:space="0" w:color="auto"/>
            <w:left w:val="none" w:sz="0" w:space="0" w:color="auto"/>
            <w:bottom w:val="none" w:sz="0" w:space="0" w:color="auto"/>
            <w:right w:val="none" w:sz="0" w:space="0" w:color="auto"/>
          </w:divBdr>
        </w:div>
        <w:div w:id="1007055428">
          <w:marLeft w:val="0"/>
          <w:marRight w:val="0"/>
          <w:marTop w:val="0"/>
          <w:marBottom w:val="0"/>
          <w:divBdr>
            <w:top w:val="none" w:sz="0" w:space="0" w:color="auto"/>
            <w:left w:val="none" w:sz="0" w:space="0" w:color="auto"/>
            <w:bottom w:val="none" w:sz="0" w:space="0" w:color="auto"/>
            <w:right w:val="none" w:sz="0" w:space="0" w:color="auto"/>
          </w:divBdr>
        </w:div>
        <w:div w:id="1543520707">
          <w:marLeft w:val="0"/>
          <w:marRight w:val="0"/>
          <w:marTop w:val="0"/>
          <w:marBottom w:val="0"/>
          <w:divBdr>
            <w:top w:val="none" w:sz="0" w:space="0" w:color="auto"/>
            <w:left w:val="none" w:sz="0" w:space="0" w:color="auto"/>
            <w:bottom w:val="none" w:sz="0" w:space="0" w:color="auto"/>
            <w:right w:val="none" w:sz="0" w:space="0" w:color="auto"/>
          </w:divBdr>
        </w:div>
      </w:divsChild>
    </w:div>
    <w:div w:id="1401902312">
      <w:bodyDiv w:val="1"/>
      <w:marLeft w:val="0"/>
      <w:marRight w:val="0"/>
      <w:marTop w:val="0"/>
      <w:marBottom w:val="0"/>
      <w:divBdr>
        <w:top w:val="none" w:sz="0" w:space="0" w:color="auto"/>
        <w:left w:val="none" w:sz="0" w:space="0" w:color="auto"/>
        <w:bottom w:val="none" w:sz="0" w:space="0" w:color="auto"/>
        <w:right w:val="none" w:sz="0" w:space="0" w:color="auto"/>
      </w:divBdr>
      <w:divsChild>
        <w:div w:id="1842113203">
          <w:marLeft w:val="0"/>
          <w:marRight w:val="0"/>
          <w:marTop w:val="0"/>
          <w:marBottom w:val="0"/>
          <w:divBdr>
            <w:top w:val="none" w:sz="0" w:space="0" w:color="auto"/>
            <w:left w:val="none" w:sz="0" w:space="0" w:color="auto"/>
            <w:bottom w:val="none" w:sz="0" w:space="0" w:color="auto"/>
            <w:right w:val="none" w:sz="0" w:space="0" w:color="auto"/>
          </w:divBdr>
        </w:div>
        <w:div w:id="2072462244">
          <w:marLeft w:val="0"/>
          <w:marRight w:val="0"/>
          <w:marTop w:val="0"/>
          <w:marBottom w:val="0"/>
          <w:divBdr>
            <w:top w:val="none" w:sz="0" w:space="0" w:color="auto"/>
            <w:left w:val="none" w:sz="0" w:space="0" w:color="auto"/>
            <w:bottom w:val="none" w:sz="0" w:space="0" w:color="auto"/>
            <w:right w:val="none" w:sz="0" w:space="0" w:color="auto"/>
          </w:divBdr>
        </w:div>
        <w:div w:id="1713075199">
          <w:marLeft w:val="0"/>
          <w:marRight w:val="0"/>
          <w:marTop w:val="0"/>
          <w:marBottom w:val="0"/>
          <w:divBdr>
            <w:top w:val="none" w:sz="0" w:space="0" w:color="auto"/>
            <w:left w:val="none" w:sz="0" w:space="0" w:color="auto"/>
            <w:bottom w:val="none" w:sz="0" w:space="0" w:color="auto"/>
            <w:right w:val="none" w:sz="0" w:space="0" w:color="auto"/>
          </w:divBdr>
        </w:div>
      </w:divsChild>
    </w:div>
    <w:div w:id="1704623986">
      <w:bodyDiv w:val="1"/>
      <w:marLeft w:val="0"/>
      <w:marRight w:val="0"/>
      <w:marTop w:val="0"/>
      <w:marBottom w:val="0"/>
      <w:divBdr>
        <w:top w:val="none" w:sz="0" w:space="0" w:color="auto"/>
        <w:left w:val="none" w:sz="0" w:space="0" w:color="auto"/>
        <w:bottom w:val="none" w:sz="0" w:space="0" w:color="auto"/>
        <w:right w:val="none" w:sz="0" w:space="0" w:color="auto"/>
      </w:divBdr>
      <w:divsChild>
        <w:div w:id="824510988">
          <w:marLeft w:val="0"/>
          <w:marRight w:val="0"/>
          <w:marTop w:val="0"/>
          <w:marBottom w:val="0"/>
          <w:divBdr>
            <w:top w:val="none" w:sz="0" w:space="0" w:color="auto"/>
            <w:left w:val="none" w:sz="0" w:space="0" w:color="auto"/>
            <w:bottom w:val="none" w:sz="0" w:space="0" w:color="auto"/>
            <w:right w:val="none" w:sz="0" w:space="0" w:color="auto"/>
          </w:divBdr>
        </w:div>
        <w:div w:id="250360249">
          <w:marLeft w:val="0"/>
          <w:marRight w:val="0"/>
          <w:marTop w:val="0"/>
          <w:marBottom w:val="0"/>
          <w:divBdr>
            <w:top w:val="none" w:sz="0" w:space="0" w:color="auto"/>
            <w:left w:val="none" w:sz="0" w:space="0" w:color="auto"/>
            <w:bottom w:val="none" w:sz="0" w:space="0" w:color="auto"/>
            <w:right w:val="none" w:sz="0" w:space="0" w:color="auto"/>
          </w:divBdr>
        </w:div>
        <w:div w:id="1489057242">
          <w:marLeft w:val="0"/>
          <w:marRight w:val="0"/>
          <w:marTop w:val="0"/>
          <w:marBottom w:val="0"/>
          <w:divBdr>
            <w:top w:val="none" w:sz="0" w:space="0" w:color="auto"/>
            <w:left w:val="none" w:sz="0" w:space="0" w:color="auto"/>
            <w:bottom w:val="none" w:sz="0" w:space="0" w:color="auto"/>
            <w:right w:val="none" w:sz="0" w:space="0" w:color="auto"/>
          </w:divBdr>
        </w:div>
        <w:div w:id="891887341">
          <w:marLeft w:val="0"/>
          <w:marRight w:val="0"/>
          <w:marTop w:val="0"/>
          <w:marBottom w:val="0"/>
          <w:divBdr>
            <w:top w:val="none" w:sz="0" w:space="0" w:color="auto"/>
            <w:left w:val="none" w:sz="0" w:space="0" w:color="auto"/>
            <w:bottom w:val="none" w:sz="0" w:space="0" w:color="auto"/>
            <w:right w:val="none" w:sz="0" w:space="0" w:color="auto"/>
          </w:divBdr>
        </w:div>
      </w:divsChild>
    </w:div>
    <w:div w:id="1709572132">
      <w:bodyDiv w:val="1"/>
      <w:marLeft w:val="0"/>
      <w:marRight w:val="0"/>
      <w:marTop w:val="0"/>
      <w:marBottom w:val="0"/>
      <w:divBdr>
        <w:top w:val="none" w:sz="0" w:space="0" w:color="auto"/>
        <w:left w:val="none" w:sz="0" w:space="0" w:color="auto"/>
        <w:bottom w:val="none" w:sz="0" w:space="0" w:color="auto"/>
        <w:right w:val="none" w:sz="0" w:space="0" w:color="auto"/>
      </w:divBdr>
      <w:divsChild>
        <w:div w:id="605114102">
          <w:marLeft w:val="0"/>
          <w:marRight w:val="0"/>
          <w:marTop w:val="0"/>
          <w:marBottom w:val="0"/>
          <w:divBdr>
            <w:top w:val="none" w:sz="0" w:space="0" w:color="auto"/>
            <w:left w:val="none" w:sz="0" w:space="0" w:color="auto"/>
            <w:bottom w:val="none" w:sz="0" w:space="0" w:color="auto"/>
            <w:right w:val="none" w:sz="0" w:space="0" w:color="auto"/>
          </w:divBdr>
          <w:divsChild>
            <w:div w:id="105195423">
              <w:marLeft w:val="0"/>
              <w:marRight w:val="0"/>
              <w:marTop w:val="0"/>
              <w:marBottom w:val="0"/>
              <w:divBdr>
                <w:top w:val="none" w:sz="0" w:space="0" w:color="auto"/>
                <w:left w:val="none" w:sz="0" w:space="0" w:color="auto"/>
                <w:bottom w:val="none" w:sz="0" w:space="0" w:color="auto"/>
                <w:right w:val="none" w:sz="0" w:space="0" w:color="auto"/>
              </w:divBdr>
              <w:divsChild>
                <w:div w:id="1149975301">
                  <w:marLeft w:val="0"/>
                  <w:marRight w:val="-90"/>
                  <w:marTop w:val="0"/>
                  <w:marBottom w:val="0"/>
                  <w:divBdr>
                    <w:top w:val="none" w:sz="0" w:space="0" w:color="auto"/>
                    <w:left w:val="none" w:sz="0" w:space="0" w:color="auto"/>
                    <w:bottom w:val="none" w:sz="0" w:space="0" w:color="auto"/>
                    <w:right w:val="none" w:sz="0" w:space="0" w:color="auto"/>
                  </w:divBdr>
                </w:div>
                <w:div w:id="1211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8</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chalghoumisalma</dc:creator>
  <cp:keywords/>
  <dc:description/>
  <cp:lastModifiedBy>chalghoumisalma</cp:lastModifiedBy>
  <cp:revision>3</cp:revision>
  <dcterms:created xsi:type="dcterms:W3CDTF">2024-12-31T13:18:00Z</dcterms:created>
  <dcterms:modified xsi:type="dcterms:W3CDTF">2025-01-01T21:20:00Z</dcterms:modified>
</cp:coreProperties>
</file>