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FAMILY COURT AT [City Name]</w:t>
        <w:br/>
        <w:br/>
        <w:t>In the matter of:</w:t>
        <w:br/>
        <w:t>bkafgaf (Petitioner)</w:t>
        <w:br/>
        <w:t>Versus</w:t>
        <w:br/>
        <w:t>ga (Respondent)</w:t>
        <w:br/>
        <w:br/>
        <w:t>PETITION FOR KHULA</w:t>
        <w:br/>
        <w:br/>
        <w:t>Respectfully Sheweth:</w:t>
        <w:br/>
        <w:br/>
        <w:t>1. That the petitioner was married to the respondent on daf at afs.</w:t>
        <w:br/>
        <w:t>2. That the relationship has irretrievably broken down due to: asf.</w:t>
        <w:br/>
        <w:t>3. That the petitioner is willing to return the mehr amount of sfa.</w:t>
        <w:br/>
        <w:t>4. fsa</w:t>
        <w:br/>
        <w:br/>
        <w:t>PRAYER:</w:t>
        <w:br/>
        <w:t>fsa</w:t>
        <w:br/>
        <w:br/>
        <w:t>Petitioner: bkafgaf</w:t>
        <w:br/>
        <w:t>Date: 04 May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