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2BCB5">
      <w:pPr>
        <w:spacing w:after="80"/>
        <w:rPr>
          <w:lang w:val="en-US"/>
        </w:rPr>
      </w:pPr>
      <w:r>
        <w:rPr>
          <w:b/>
          <w:bCs/>
          <w:color w:val="1F4E5F"/>
          <w:sz w:val="40"/>
          <w:szCs w:val="40"/>
          <w:lang w:val="en-US"/>
        </w:rPr>
        <w:t>Internship Proposal A</w:t>
      </w:r>
    </w:p>
    <w:p w14:paraId="3C8E291F">
      <w:pPr>
        <w:spacing w:after="40"/>
        <w:rPr>
          <w:lang w:val="en-US"/>
        </w:rPr>
      </w:pPr>
      <w:r>
        <w:rPr>
          <w:b/>
          <w:bCs/>
          <w:color w:val="2E75B6"/>
          <w:sz w:val="26"/>
          <w:szCs w:val="26"/>
          <w:lang w:val="en-US"/>
        </w:rPr>
        <w:t>Context-Aware Agentic Reasoning for a Real-Time Home-Monitoring System</w:t>
      </w:r>
    </w:p>
    <w:p w14:paraId="34CC5B09">
      <w:pPr>
        <w:spacing w:after="300"/>
        <w:rPr>
          <w:lang w:val="en-US"/>
        </w:rPr>
      </w:pPr>
      <w:r>
        <w:rPr>
          <w:i/>
          <w:iCs/>
          <w:color w:val="555555"/>
          <w:sz w:val="20"/>
          <w:szCs w:val="20"/>
          <w:lang w:val="en-US"/>
        </w:rPr>
        <w:t>Companion track: Proposal B — RAG Engineering, Interoperability APIs, and a Coordination-Layer Systems Experiment. Please read the Project Architecture &amp; Workflow Guide before this document — it defines the shared architecture, workflow, and scenarios (S1–S6) this proposal builds on.</w:t>
      </w:r>
    </w:p>
    <w:p w14:paraId="1ECD3AC5">
      <w:pPr>
        <w:pBdr>
          <w:bottom w:val="single" w:color="1F4E5F" w:sz="6" w:space="1"/>
        </w:pBdr>
        <w:spacing w:before="120" w:after="240"/>
        <w:rPr>
          <w:lang w:val="en-US"/>
        </w:rPr>
      </w:pPr>
    </w:p>
    <w:p w14:paraId="42544A85">
      <w:pPr>
        <w:pStyle w:val="2"/>
        <w:rPr>
          <w:lang w:val="en-US"/>
        </w:rPr>
      </w:pPr>
      <w:r>
        <w:rPr>
          <w:lang w:val="en-US"/>
        </w:rPr>
        <w:t>1. Overview</w:t>
      </w:r>
    </w:p>
    <w:p w14:paraId="36BB9793">
      <w:pPr>
        <w:spacing w:after="160"/>
        <w:rPr>
          <w:lang w:val="en-US"/>
        </w:rPr>
      </w:pPr>
      <w:r>
        <w:rPr>
          <w:lang w:val="en-US"/>
        </w:rPr>
        <w:t>Both interns extend the same small home-monitoring system, described in the Project Architecture &amp; Workflow Guide: sensor data flows through an edge microservice into a fast, rule-based safety tier (Tier 1) and a slower, reasoning-based tier (Tier 2), which together decide whether to raise an alarm and what kind of network support that situation would call for. This track — Track A — owns Tier 2: choosing the software framework it is built on, and extending it so it can reason over richer, sometimes ambiguous context rather than just the three baseline scenarios.</w:t>
      </w:r>
    </w:p>
    <w:p w14:paraId="55B2B246">
      <w:pPr>
        <w:pStyle w:val="2"/>
        <w:rPr>
          <w:lang w:val="en-US"/>
        </w:rPr>
      </w:pPr>
      <w:r>
        <w:rPr>
          <w:lang w:val="en-US"/>
        </w:rPr>
        <w:t>2. Shared Core (recap)</w:t>
      </w:r>
    </w:p>
    <w:p w14:paraId="436E1965">
      <w:pPr>
        <w:spacing w:after="160"/>
        <w:rPr>
          <w:lang w:val="en-US"/>
        </w:rPr>
      </w:pPr>
      <w:r>
        <w:rPr>
          <w:lang w:val="en-US"/>
        </w:rPr>
        <w:t>You will build this together with the Track B intern in the first two weeks; full detail is in the Project Architecture &amp; Workflow Guide, §2 and Figure 1.</w:t>
      </w:r>
    </w:p>
    <w:p w14:paraId="71D11C18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Sensor replay, message broker, and edge microservice (anomaly scoring).</w:t>
      </w:r>
    </w:p>
    <w:p w14:paraId="7E2FADD7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Tier 1 — Monitoring Agent and Context Agent, exactly as specified in the guide; neither track modifies this once built.</w:t>
      </w:r>
    </w:p>
    <w:p w14:paraId="062D0B51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three core scenarios, S1–S3, and the base severity/urgency mapping.</w:t>
      </w:r>
    </w:p>
    <w:p w14:paraId="0917DFCC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emitted network-request artifact concept (a description, not an action) — the interface both tracks build toward.</w:t>
      </w:r>
    </w:p>
    <w:p w14:paraId="73F13F84">
      <w:pPr>
        <w:pStyle w:val="2"/>
        <w:rPr>
          <w:lang w:val="en-US"/>
        </w:rPr>
      </w:pPr>
      <w:r>
        <w:rPr>
          <w:lang w:val="en-US"/>
        </w:rPr>
        <w:t>3. Track A — Objective</w:t>
      </w:r>
    </w:p>
    <w:p w14:paraId="091EA3D1">
      <w:pPr>
        <w:spacing w:after="160"/>
        <w:rPr>
          <w:lang w:val="en-US"/>
        </w:rPr>
      </w:pPr>
      <w:r>
        <w:rPr>
          <w:lang w:val="en-US"/>
        </w:rPr>
        <w:t>Choose and validate the software framework Tier 2 is built on, then extend the Tier-2 pipeline (Alert Agent, reasoning component, severity/urgency mapping) so it can reason over enriched, multi-source context in addition to the three baseline scenarios, and demonstrate — with a concrete comparison, not just an assertion — where that reasoning earns its place over a simpler, static rule table. Tier 1 (Figure 2 below) is never modified: everything in this track lives downstream of the alarm decision.</w:t>
      </w:r>
    </w:p>
    <w:p w14:paraId="777F3BF3">
      <w:pPr>
        <w:pStyle w:val="2"/>
        <w:rPr>
          <w:lang w:val="en-US"/>
        </w:rPr>
      </w:pPr>
      <w:r>
        <w:rPr>
          <w:lang w:val="en-US"/>
        </w:rPr>
        <w:t>4. Phase 1 — Benchmarking Agentic AI Orchestration Frameworks</w:t>
      </w:r>
    </w:p>
    <w:p w14:paraId="672BCDDD">
      <w:pPr>
        <w:spacing w:after="160"/>
        <w:rPr>
          <w:lang w:val="en-US"/>
        </w:rPr>
      </w:pPr>
      <w:r>
        <w:rPr>
          <w:lang w:val="en-US"/>
        </w:rPr>
        <w:t xml:space="preserve">Before Tier 2 can be built, you need to pick what it is built </w:t>
      </w:r>
      <w:r>
        <w:rPr>
          <w:i/>
          <w:iCs/>
          <w:lang w:val="en-US"/>
        </w:rPr>
        <w:t>on</w:t>
      </w:r>
      <w:r>
        <w:rPr>
          <w:lang w:val="en-US"/>
        </w:rPr>
        <w:t>. This phase is a hands-on comparison of open-source frameworks for defining and running multiple cooperating software agents — the same comparison originally scoped as this project's first study, now grounded in this project's actual Tier-2 need.</w:t>
      </w:r>
    </w:p>
    <w:p w14:paraId="16858967">
      <w:pPr>
        <w:pStyle w:val="3"/>
        <w:rPr>
          <w:lang w:val="en-US"/>
        </w:rPr>
      </w:pPr>
      <w:r>
        <w:rPr>
          <w:lang w:val="en-US"/>
        </w:rPr>
        <w:t>4.1 Candidate tools</w:t>
      </w:r>
    </w:p>
    <w:p w14:paraId="1BF50066">
      <w:pPr>
        <w:spacing w:after="160"/>
        <w:rPr>
          <w:lang w:val="en-US"/>
        </w:rPr>
      </w:pPr>
      <w:r>
        <w:rPr>
          <w:lang w:val="en-US"/>
        </w:rPr>
        <w:t>A starting list, not a closed one — you may propose substitutions or additions with justification:</w:t>
      </w:r>
    </w:p>
    <w:p w14:paraId="211D0393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LangGraph — graph-based agent orchestration with explicit state management.</w:t>
      </w:r>
    </w:p>
    <w:p w14:paraId="711EF2EB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CrewAI — role-based multi-agent collaboration framework.</w:t>
      </w:r>
    </w:p>
    <w:p w14:paraId="4B5A1D61">
      <w:pPr>
        <w:pStyle w:val="17"/>
        <w:numPr>
          <w:ilvl w:val="0"/>
          <w:numId w:val="1"/>
        </w:numPr>
        <w:spacing w:after="100"/>
      </w:pPr>
      <w:r>
        <w:t>AutoGen (Microsoft) — conversational multi-agent framework.</w:t>
      </w:r>
    </w:p>
    <w:p w14:paraId="5B25DD64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 lightweight agent-handoff framework (e.g. OpenAI Swarm or a comparable minimal alternative).</w:t>
      </w:r>
    </w:p>
    <w:p w14:paraId="56AB2649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Any additional candidate you identify as relevant, with justification.</w:t>
      </w:r>
    </w:p>
    <w:p w14:paraId="7EE89A01">
      <w:pPr>
        <w:pStyle w:val="3"/>
      </w:pPr>
      <w:r>
        <w:t>4.2 Tasks</w:t>
      </w:r>
    </w:p>
    <w:p w14:paraId="3C691040">
      <w:pPr>
        <w:pStyle w:val="17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Identify 4–5 candidate frameworks through a short ecosystem scan.</w:t>
      </w:r>
    </w:p>
    <w:p w14:paraId="25A132B4">
      <w:pPr>
        <w:pStyle w:val="17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Install and run each framework on a minimal representative task, grounded in this project's actual hand-off: consume one alarm-plus-context event, retrieve one piece of background information, call one locally-hosted reasoning model, and emit one output message — a small but real stand-in for step 4b–7 in the workflow (Figure 3).</w:t>
      </w:r>
    </w:p>
    <w:p w14:paraId="3422F9DC">
      <w:pPr>
        <w:pStyle w:val="17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For each framework, document: setup effort, supported agent topologies (single-agent, sequential multi-agent, parallel fan-out), state-persistence model, and integration ease with a self-hosted, locally-run reasoning model.</w:t>
      </w:r>
    </w:p>
    <w:p w14:paraId="3CD837ED">
      <w:pPr>
        <w:pStyle w:val="17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Score each framework against project-relevant criteria: latency overhead, debuggability/observability, community maturity, and licensing.</w:t>
      </w:r>
    </w:p>
    <w:p w14:paraId="4DE6521E">
      <w:pPr>
        <w:pStyle w:val="17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Synthesise findings into the comparison matrix (Appendix A) and a short written recommendation, including trade-offs of the top 1–2 candidates.</w:t>
      </w:r>
    </w:p>
    <w:p w14:paraId="17E92CA1">
      <w:pPr>
        <w:pStyle w:val="3"/>
      </w:pPr>
      <w:r>
        <w:t>4.3 Deliverables for this phase</w:t>
      </w:r>
    </w:p>
    <w:p w14:paraId="6761ED42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filled comparison matrix and a one-page recommendation.</w:t>
      </w:r>
    </w:p>
    <w:p w14:paraId="32D7F5D6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minimal working prototype used for testing each framework, one subfolder per candidate, in the shared repository.</w:t>
      </w:r>
    </w:p>
    <w:p w14:paraId="21FEEC0F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recommended framework carries forward into Phase 3.</w:t>
      </w:r>
    </w:p>
    <w:p w14:paraId="4BB2C2B5">
      <w:pPr>
        <w:pStyle w:val="2"/>
        <w:rPr>
          <w:lang w:val="en-US"/>
        </w:rPr>
      </w:pPr>
      <w:r>
        <w:rPr>
          <w:lang w:val="en-US"/>
        </w:rPr>
        <w:t>5. Phase 2 — Tier 1 Fast Path</w:t>
      </w:r>
    </w:p>
    <w:p w14:paraId="23E469A1">
      <w:pPr>
        <w:spacing w:after="160"/>
        <w:rPr>
          <w:lang w:val="en-US"/>
        </w:rPr>
      </w:pPr>
      <w:r>
        <w:rPr>
          <w:lang w:val="en-US"/>
        </w:rPr>
        <w:t>Built together with Track B (§2). Once running, confirm the basic behaviour before moving on:</w:t>
      </w:r>
    </w:p>
    <w:p w14:paraId="0CB51118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S1 and S2 produce the expected alarm / no-alarm outcome.</w:t>
      </w:r>
    </w:p>
    <w:p w14:paraId="195D83C3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 simple timed check: artificially delay a mocked Tier-2 response, and confirm Tier-1 alarm latency for the next reading is unaffected. Tier 1 and Tier 2 only ever exchange messages through the broker (Figure 2) — never a direct call — which is what makes this true regardless of how long Tier 2 takes.</w:t>
      </w:r>
    </w:p>
    <w:p w14:paraId="3394929A">
      <w:pPr>
        <w:pStyle w:val="2"/>
        <w:rPr>
          <w:lang w:val="en-US"/>
        </w:rPr>
      </w:pPr>
      <w:r>
        <w:rPr>
          <w:lang w:val="en-US"/>
        </w:rPr>
        <w:t>6. Phase 3 — Tier 2 Reasoning and Context Enrichment</w:t>
      </w:r>
    </w:p>
    <w:p w14:paraId="65C8F1B7">
      <w:pPr>
        <w:spacing w:after="160"/>
        <w:rPr>
          <w:lang w:val="en-US"/>
        </w:rPr>
      </w:pPr>
      <w:r>
        <w:rPr>
          <w:lang w:val="en-US"/>
        </w:rPr>
        <w:t>This is the core of the track: extending Tier 2, on the framework chosen in Phase 1, so it can make good decisions on ambiguous cases, not just the three baseline scenarios.</w:t>
      </w:r>
    </w:p>
    <w:p w14:paraId="68EDD62A">
      <w:pPr>
        <w:pStyle w:val="3"/>
      </w:pPr>
      <w:r>
        <w:t>6.1 Enriched context: signal categories</w:t>
      </w:r>
    </w:p>
    <w:p w14:paraId="073DFD8D">
      <w:pPr>
        <w:pStyle w:val="17"/>
        <w:numPr>
          <w:ilvl w:val="0"/>
          <w:numId w:val="1"/>
        </w:numPr>
        <w:spacing w:after="100"/>
      </w:pPr>
      <w:r>
        <w:t>Patient-internal: activity trace, medication-dispenser events, voice check-in response/non-response.</w:t>
      </w:r>
    </w:p>
    <w:p w14:paraId="7034BA19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Smart-home / environmental: presence/occupancy, ambient temperature, a labelled audio-event flag (e.g. crash sound).</w:t>
      </w:r>
    </w:p>
    <w:p w14:paraId="31D453E8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Device/system: connectivity or battery dropout — a reliability signal, not a suppression trigger.</w:t>
      </w:r>
    </w:p>
    <w:p w14:paraId="39A3CAD1">
      <w:pPr>
        <w:spacing w:after="160"/>
        <w:rPr>
          <w:lang w:val="en-US"/>
        </w:rPr>
      </w:pPr>
      <w:r>
        <w:rPr>
          <w:lang w:val="en-US"/>
        </w:rPr>
        <w:t>All scripted/synthetic events — no real smart-home hardware integration.</w:t>
      </w:r>
    </w:p>
    <w:p w14:paraId="5BA87E1A">
      <w:pPr>
        <w:pStyle w:val="3"/>
      </w:pPr>
      <w:r>
        <w:t>6.2 Representation</w:t>
      </w:r>
    </w:p>
    <w:p w14:paraId="69FAA4E7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 short timestamped event log (source, type, value), not a fixed-shape snapshot, so it can be assembled into a short narrative for the reasoning model to read.</w:t>
      </w:r>
    </w:p>
    <w:p w14:paraId="4F951C9D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 small static patient-profile file per test patient, retrieved via Track B's retrieval service (§7) — you consume this service, you do not build your own retrieval backend.</w:t>
      </w:r>
    </w:p>
    <w:p w14:paraId="2677A60D">
      <w:pPr>
        <w:pStyle w:val="3"/>
        <w:rPr>
          <w:lang w:val="en-US"/>
        </w:rPr>
      </w:pPr>
      <w:r>
        <w:rPr>
          <w:lang w:val="en-US"/>
        </w:rPr>
        <w:t>6.3 Ambiguous scenario fixtures (S4–S6)</w:t>
      </w:r>
    </w:p>
    <w:tbl>
      <w:tblPr>
        <w:tblStyle w:val="15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500"/>
        <w:gridCol w:w="2260"/>
      </w:tblGrid>
      <w:tr w14:paraId="6BF5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139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8404">
            <w:r>
              <w:rPr>
                <w:b/>
                <w:bCs/>
                <w:color w:val="FFFFFF"/>
                <w:sz w:val="20"/>
                <w:szCs w:val="20"/>
              </w:rPr>
              <w:t>Enriched context (narrative)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401A">
            <w:r>
              <w:rPr>
                <w:b/>
                <w:bCs/>
                <w:color w:val="FFFFFF"/>
                <w:sz w:val="20"/>
                <w:szCs w:val="20"/>
              </w:rPr>
              <w:t>Rule-table-only output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1D8E">
            <w:r>
              <w:rPr>
                <w:b/>
                <w:bCs/>
                <w:color w:val="FFFFFF"/>
                <w:sz w:val="20"/>
                <w:szCs w:val="20"/>
              </w:rPr>
              <w:t>Reasoning-tier output</w:t>
            </w:r>
          </w:p>
        </w:tc>
      </w:tr>
      <w:tr w14:paraId="25C8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DE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S4 — Heat + missed medication + alone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3BFC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HR mildly elevated (below alarm threshold); hot room; dose missed; patient alone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0951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NORMAL — no single field crosses threshold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28F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MODERATE, proactive re-check — combines three sub-threshold signals</w:t>
            </w:r>
          </w:p>
        </w:tc>
      </w:tr>
      <w:tr w14:paraId="1B440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F93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S5 — Fall evidence without the fall flag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C26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HR spike; fall sensor not triggered; loud noise detected; check-in unanswered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697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Escalates on HR alone; fall-specific rule does not fire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E79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HIGH/SEVERE — compensates for a possibly missed sensor trigger</w:t>
            </w:r>
          </w:p>
        </w:tc>
      </w:tr>
      <w:tr w14:paraId="2CCA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48F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S6 — Threshold-crossing + device dropout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698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HR reading crosses the alarm threshold; brief connectivity dropout at same moment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1731">
            <w:r>
              <w:rPr>
                <w:sz w:val="20"/>
                <w:szCs w:val="20"/>
              </w:rPr>
              <w:t>Alarm fires (correct, unchanged)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80A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Alarm still fires unmodified; a “verify” confidence note is attached</w:t>
            </w:r>
          </w:p>
        </w:tc>
      </w:tr>
    </w:tbl>
    <w:p w14:paraId="694FDF22">
      <w:pPr>
        <w:spacing w:after="160"/>
        <w:rPr>
          <w:lang w:val="en-US"/>
        </w:rPr>
      </w:pPr>
      <w:r>
        <w:rPr>
          <w:lang w:val="en-US"/>
        </w:rPr>
        <w:t xml:space="preserve">S6 is written deliberately so that the reasoning tier may only </w:t>
      </w:r>
      <w:r>
        <w:rPr>
          <w:i/>
          <w:iCs/>
          <w:lang w:val="en-US"/>
        </w:rPr>
        <w:t>annotate</w:t>
      </w:r>
      <w:r>
        <w:rPr>
          <w:lang w:val="en-US"/>
        </w:rPr>
        <w:t xml:space="preserve"> the output, never suppress or delay the Tier-1 alarm itself — see the Project Architecture &amp; Workflow Guide, §5, on why Tier 1's decision is never softened by Tier 2.</w:t>
      </w:r>
    </w:p>
    <w:p w14:paraId="382FFA5D">
      <w:pPr>
        <w:pStyle w:val="3"/>
        <w:rPr>
          <w:lang w:val="en-US"/>
        </w:rPr>
      </w:pPr>
      <w:r>
        <w:rPr>
          <w:lang w:val="en-US"/>
        </w:rPr>
        <w:t>6.4 Ablation harness</w:t>
      </w:r>
    </w:p>
    <w:p w14:paraId="23A4818D">
      <w:pPr>
        <w:spacing w:after="160"/>
        <w:rPr>
          <w:lang w:val="en-US"/>
        </w:rPr>
      </w:pPr>
      <w:r>
        <w:rPr>
          <w:lang w:val="en-US"/>
        </w:rPr>
        <w:t xml:space="preserve">Two paths process the same event stream: the baseline severity/urgency table (fed only the base scenario data) and the full Tier-2 reasoning pipeline (fed the narrative + retrieved profile). For S1/S2/S4/S5/S6, log both outputs side by side, with an expected-divergence note written </w:t>
      </w:r>
      <w:r>
        <w:rPr>
          <w:i/>
          <w:iCs/>
          <w:lang w:val="en-US"/>
        </w:rPr>
        <w:t>before</w:t>
      </w:r>
      <w:r>
        <w:rPr>
          <w:lang w:val="en-US"/>
        </w:rPr>
        <w:t xml:space="preserve"> the run. Once Track B's evaluation tooling is available, additionally score retrieval accuracy and whether the reasoning output is actually grounded in what was retrieved (rather than invented) — turning a qualitative comparison into a partly quantified one.</w:t>
      </w:r>
    </w:p>
    <w:p w14:paraId="790AC7CD">
      <w:pPr>
        <w:pStyle w:val="2"/>
      </w:pPr>
      <w:r>
        <w:t>7. Interface With Track B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530"/>
        <w:gridCol w:w="3530"/>
      </w:tblGrid>
      <w:tr w14:paraId="290C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B8D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3F3C">
            <w:r>
              <w:rPr>
                <w:b/>
                <w:bCs/>
                <w:color w:val="FFFFFF"/>
                <w:sz w:val="20"/>
                <w:szCs w:val="20"/>
              </w:rPr>
              <w:t>Track A provides / consumes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D7C9">
            <w:r>
              <w:rPr>
                <w:b/>
                <w:bCs/>
                <w:color w:val="FFFFFF"/>
                <w:sz w:val="20"/>
                <w:szCs w:val="20"/>
              </w:rPr>
              <w:t>Track B provides / consumes</w:t>
            </w:r>
          </w:p>
        </w:tc>
      </w:tr>
      <w:tr w14:paraId="1612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5552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Retrieval service — search(query, k)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17A8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Consumes: calls this service from the context-assembly step to fetch patient-profile snippets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8562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Provides: builds and hosts this service on top of the tool chosen in their own comparison</w:t>
            </w:r>
          </w:p>
        </w:tc>
      </w:tr>
      <w:tr w14:paraId="1B7C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802">
            <w:r>
              <w:rPr>
                <w:sz w:val="20"/>
                <w:szCs w:val="20"/>
              </w:rPr>
              <w:t>Evaluation tooling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46F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Consumes: uses it to score retrieval accuracy/grounding in the ablation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03F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Provides: sets it up as part of their own comparison, exposes it for reuse</w:t>
            </w:r>
          </w:p>
        </w:tc>
      </w:tr>
      <w:tr w14:paraId="55A4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D09">
            <w:r>
              <w:rPr>
                <w:sz w:val="20"/>
                <w:szCs w:val="20"/>
              </w:rPr>
              <w:t>Shared knowledge base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439B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Consumes: uses a small, task-relevant subset for S1–S6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7A21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Provides: builds and owns the full corpus and test-query set</w:t>
            </w:r>
          </w:p>
        </w:tc>
      </w:tr>
      <w:tr w14:paraId="6A7E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55CA">
            <w:r>
              <w:rPr>
                <w:sz w:val="20"/>
                <w:szCs w:val="20"/>
              </w:rPr>
              <w:t>Network-request emission service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F5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Provides: its Tier-2 pipeline is the source of the requests this service exposes</w:t>
            </w:r>
          </w:p>
        </w:tc>
        <w:tc>
          <w:tcPr>
            <w:tcW w:w="353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0E9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Provides: builds and hosts the service itself, over Track A's emitted artifacts</w:t>
            </w:r>
          </w:p>
        </w:tc>
      </w:tr>
    </w:tbl>
    <w:p w14:paraId="11699820">
      <w:pPr>
        <w:pStyle w:val="2"/>
        <w:rPr>
          <w:lang w:val="en-US"/>
        </w:rPr>
      </w:pPr>
      <w:r>
        <w:rPr>
          <w:lang w:val="en-US"/>
        </w:rPr>
        <w:t>8. Why the Ablation Matters</w:t>
      </w:r>
    </w:p>
    <w:p w14:paraId="1AFDCD35">
      <w:pPr>
        <w:spacing w:after="160"/>
        <w:rPr>
          <w:lang w:val="en-US"/>
        </w:rPr>
      </w:pPr>
      <w:r>
        <w:rPr>
          <w:lang w:val="en-US"/>
        </w:rPr>
        <w:t>A fixed rule table is easy to reason about, but every new combination of weak signals it should handle means a new, explicitly written rule — the number of rules needed grows quickly as more context sources are added. A reasoning model, given the same signals as a short narrative, can generalise across combinations it was never explicitly given a rule for. S4–S6 are built to make that difference observable rather than assumed: each is a case picked because the two approaches should plausibly disagree, and the ablation table is where you show whether they actually do, and why.</w:t>
      </w:r>
    </w:p>
    <w:p w14:paraId="15B62BF8">
      <w:pPr>
        <w:pStyle w:val="2"/>
      </w:pPr>
      <w:r>
        <w:t>9. Deliverables</w:t>
      </w:r>
    </w:p>
    <w:p w14:paraId="08C1880A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Phase 1: the framework comparison matrix and recommendation, plus one working prototype subfolder per candidate.</w:t>
      </w:r>
    </w:p>
    <w:p w14:paraId="038C8AEE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Tier-2 reasoning pipeline: context assembly, extended severity/urgency mapping, and the chosen framework's integration.</w:t>
      </w:r>
    </w:p>
    <w:p w14:paraId="41BA6EC7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S1–S6 fixtures and logged output artifacts (network requests, plus S6-style confidence notes).</w:t>
      </w:r>
    </w:p>
    <w:p w14:paraId="2838A97A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The ablation report: rule-table baseline vs. reasoning tier, qualitative and (via Track B's tooling) quantitative.</w:t>
      </w:r>
    </w:p>
    <w:p w14:paraId="20CA775A">
      <w:pPr>
        <w:pStyle w:val="17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A short final report (5–8 pages) covering the framework choice, the build, and the ablation results — this is what you defend.</w:t>
      </w:r>
    </w:p>
    <w:p w14:paraId="12517CDB">
      <w:pPr>
        <w:pStyle w:val="2"/>
      </w:pPr>
      <w:r>
        <w:t>10. Success Criteria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D1C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AA22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CC9E">
            <w:r>
              <w:rPr>
                <w:b/>
                <w:bCs/>
                <w:color w:val="FFFFFF"/>
                <w:sz w:val="20"/>
                <w:szCs w:val="20"/>
              </w:rPr>
              <w:t>How it is checked</w:t>
            </w:r>
          </w:p>
        </w:tc>
      </w:tr>
      <w:tr w14:paraId="51D7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CB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Framework comparison matrix completed for 4–5 candidates with a clear recommendation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2AA8">
            <w:r>
              <w:rPr>
                <w:sz w:val="20"/>
                <w:szCs w:val="20"/>
              </w:rPr>
              <w:t>Phase 1 deliverable review</w:t>
            </w:r>
          </w:p>
        </w:tc>
      </w:tr>
      <w:tr w14:paraId="4E06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F5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S1/S2 produce the expected alarm / no-alarm outcome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236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Manual check against the scenario definitions in the Guide</w:t>
            </w:r>
          </w:p>
        </w:tc>
      </w:tr>
      <w:tr w14:paraId="30410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115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Tier-1 latency unaffected by Tier-2/reasoning delay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CB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Simple timed sanity check (Phase 2)</w:t>
            </w:r>
          </w:p>
        </w:tc>
      </w:tr>
      <w:tr w14:paraId="1C25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7ED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S4/S5 reasoning-tier output diverges from the baseline in the predicted direction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B37C">
            <w:r>
              <w:rPr>
                <w:sz w:val="20"/>
                <w:szCs w:val="20"/>
              </w:rPr>
              <w:t>Ablation table review</w:t>
            </w:r>
          </w:p>
        </w:tc>
      </w:tr>
      <w:tr w14:paraId="6B35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B78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S6: Tier-1 alarm is never suppressed, delayed, or softened by Tier-2 reasoning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756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Regression check, run on every change to Tier 2</w:t>
            </w:r>
          </w:p>
        </w:tc>
      </w:tr>
      <w:tr w14:paraId="0CF4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5BEB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Ablation is quantified with retrieval/grounding scores</w:t>
            </w:r>
          </w:p>
        </w:tc>
        <w:tc>
          <w:tcPr>
            <w:tcW w:w="46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037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Contingent on Track B's tooling landing by Week 7</w:t>
            </w:r>
          </w:p>
        </w:tc>
      </w:tr>
    </w:tbl>
    <w:p w14:paraId="23B4DF42">
      <w:pPr>
        <w:pStyle w:val="2"/>
      </w:pPr>
    </w:p>
    <w:p w14:paraId="753937FC">
      <w:pPr>
        <w:pStyle w:val="2"/>
      </w:pPr>
      <w:r>
        <w:t>11. Joint Schedule (9 weeks)</w:t>
      </w:r>
    </w:p>
    <w:tbl>
      <w:tblPr>
        <w:tblStyle w:val="15"/>
        <w:tblW w:w="9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060"/>
        <w:gridCol w:w="3060"/>
        <w:gridCol w:w="2260"/>
      </w:tblGrid>
      <w:tr w14:paraId="77CE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C173">
            <w:r>
              <w:rPr>
                <w:b/>
                <w:bCs/>
                <w:color w:val="FFFFFF"/>
                <w:sz w:val="20"/>
                <w:szCs w:val="20"/>
              </w:rPr>
              <w:t>Wk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18D7">
            <w:r>
              <w:rPr>
                <w:b/>
                <w:bCs/>
                <w:color w:val="FFFFFF"/>
                <w:sz w:val="20"/>
                <w:szCs w:val="20"/>
              </w:rPr>
              <w:t>Both (shared core)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D58F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n-US"/>
              </w:rPr>
              <w:t>Track A / Track B (diverge from Week 3)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A68A">
            <w:r>
              <w:rPr>
                <w:b/>
                <w:bCs/>
                <w:color w:val="FFFFFF"/>
                <w:sz w:val="20"/>
                <w:szCs w:val="20"/>
              </w:rPr>
              <w:t>Joint sync / shared artifact</w:t>
            </w:r>
          </w:p>
        </w:tc>
      </w:tr>
      <w:tr w14:paraId="45A0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CCC1">
            <w:r>
              <w:rPr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F18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Docker stack, replay scripts, fix S1–S3 fixtures together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046B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22B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Kickoff: agree shared knowledge-base domain</w:t>
            </w:r>
          </w:p>
        </w:tc>
      </w:tr>
      <w:tr w14:paraId="767C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EFA7">
            <w:r>
              <w:rPr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B06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Tier-1 agents together; agree the retrieval / network-request service contract before diverging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7933">
            <w:r>
              <w:rPr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826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Interface contract sign-off — both tracks depend on this being fixed early</w:t>
            </w:r>
          </w:p>
        </w:tc>
      </w:tr>
      <w:tr w14:paraId="0968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ABB4"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E558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959">
            <w:r>
              <w:rPr>
                <w:sz w:val="20"/>
                <w:szCs w:val="20"/>
                <w:lang w:val="en-US"/>
              </w:rPr>
              <w:t xml:space="preserve">A: Phase 1 — benchmark orchestration frameworks (shortlist, install, minimal task in each). </w:t>
            </w:r>
            <w:r>
              <w:rPr>
                <w:sz w:val="20"/>
                <w:szCs w:val="20"/>
              </w:rPr>
              <w:t>B: start vector-store comparison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2702">
            <w:r>
              <w:rPr>
                <w:sz w:val="20"/>
                <w:szCs w:val="20"/>
              </w:rPr>
              <w:t>—</w:t>
            </w:r>
          </w:p>
        </w:tc>
      </w:tr>
      <w:tr w14:paraId="6623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FA44">
            <w:r>
              <w:rPr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FF9C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D5B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A: finish Phase 1 (score, matrix, recommendation). B: finish vector-store comparison; start evaluation-tooling comparison + retrieval-service skeleton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C9B6">
            <w:r>
              <w:rPr>
                <w:sz w:val="20"/>
                <w:szCs w:val="20"/>
              </w:rPr>
              <w:t>—</w:t>
            </w:r>
          </w:p>
        </w:tc>
      </w:tr>
      <w:tr w14:paraId="2D96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5212">
            <w:r>
              <w:rPr>
                <w:sz w:val="20"/>
                <w:szCs w:val="20"/>
              </w:rPr>
              <w:t>5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5D46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0D1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A: begin context-enrichment design (event log schema, draft S4–S6) on the chosen framework. B: finish evaluation-tooling comparison; bring the real retrieval service online; start the network-request emission service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E9D8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Retrieval service goes live — A switches from stub to real endpoint</w:t>
            </w:r>
          </w:p>
        </w:tc>
      </w:tr>
      <w:tr w14:paraId="0B1C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910B">
            <w:r>
              <w:rPr>
                <w:sz w:val="20"/>
                <w:szCs w:val="20"/>
              </w:rPr>
              <w:t>6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0B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98D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A: narrative assembly + severity/urgency extension for S4–S6. B: run the coordination-layer systems experiment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1771">
            <w:r>
              <w:rPr>
                <w:sz w:val="20"/>
                <w:szCs w:val="20"/>
              </w:rPr>
              <w:t>—</w:t>
            </w:r>
          </w:p>
        </w:tc>
      </w:tr>
      <w:tr w14:paraId="3409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5B72">
            <w:r>
              <w:rPr>
                <w:sz w:val="20"/>
                <w:szCs w:val="20"/>
              </w:rPr>
              <w:t>7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FE8E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54C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A: build and run the ablation harness across S1–S6. B: finalize the systems-experiment report; document both services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279">
            <w:r>
              <w:rPr>
                <w:sz w:val="20"/>
                <w:szCs w:val="20"/>
              </w:rPr>
              <w:t>—</w:t>
            </w:r>
          </w:p>
        </w:tc>
      </w:tr>
      <w:tr w14:paraId="67F0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663D">
            <w:r>
              <w:rPr>
                <w:sz w:val="20"/>
                <w:szCs w:val="20"/>
              </w:rPr>
              <w:t>8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1ECE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AD35">
            <w:r>
              <w:rPr>
                <w:sz w:val="20"/>
                <w:szCs w:val="20"/>
                <w:lang w:val="en-US"/>
              </w:rPr>
              <w:t xml:space="preserve">A: add quantitative scoring to the ablation using B's tooling; start write-up. </w:t>
            </w:r>
            <w:r>
              <w:rPr>
                <w:sz w:val="20"/>
                <w:szCs w:val="20"/>
              </w:rPr>
              <w:t>B: finalize the RAG comparison write-up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CB82">
            <w:r>
              <w:rPr>
                <w:sz w:val="20"/>
                <w:szCs w:val="20"/>
              </w:rPr>
              <w:t>—</w:t>
            </w:r>
          </w:p>
        </w:tc>
      </w:tr>
      <w:tr w14:paraId="5E38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8E14">
            <w:r>
              <w:rPr>
                <w:sz w:val="20"/>
                <w:szCs w:val="20"/>
              </w:rPr>
              <w:t>9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649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Joint demo of the shared core plus both tracks</w:t>
            </w:r>
          </w:p>
        </w:tc>
        <w:tc>
          <w:tcPr>
            <w:tcW w:w="30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C29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Each finalizes their own report</w:t>
            </w:r>
          </w:p>
        </w:tc>
        <w:tc>
          <w:tcPr>
            <w:tcW w:w="22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CF61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Joint cross-presentation; each intern defends their own track individually</w:t>
            </w:r>
          </w:p>
        </w:tc>
      </w:tr>
    </w:tbl>
    <w:p w14:paraId="3DC81915">
      <w:pPr>
        <w:pStyle w:val="2"/>
      </w:pPr>
      <w:r>
        <w:t>Appendix A — Orchestration Framework Comparison Template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260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0E19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BC42">
            <w:r>
              <w:rPr>
                <w:b/>
                <w:bCs/>
                <w:color w:val="FFFFFF"/>
                <w:sz w:val="20"/>
                <w:szCs w:val="20"/>
              </w:rPr>
              <w:t>Tool A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0E62">
            <w:r>
              <w:rPr>
                <w:b/>
                <w:bCs/>
                <w:color w:val="FFFFFF"/>
                <w:sz w:val="20"/>
                <w:szCs w:val="20"/>
              </w:rPr>
              <w:t>Tool B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C0B6">
            <w:r>
              <w:rPr>
                <w:b/>
                <w:bCs/>
                <w:color w:val="FFFFFF"/>
                <w:sz w:val="20"/>
                <w:szCs w:val="20"/>
              </w:rPr>
              <w:t>Tool C</w:t>
            </w:r>
          </w:p>
        </w:tc>
      </w:tr>
      <w:tr w14:paraId="2608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D10D">
            <w:bookmarkStart w:id="0" w:name="_GoBack" w:colFirst="0" w:colLast="0"/>
            <w:r>
              <w:rPr>
                <w:sz w:val="20"/>
                <w:szCs w:val="20"/>
              </w:rPr>
              <w:t>Install effort (hours)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BAD7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8FC9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0F61"/>
        </w:tc>
      </w:tr>
      <w:tr w14:paraId="72A7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18A7">
            <w:r>
              <w:rPr>
                <w:sz w:val="20"/>
                <w:szCs w:val="20"/>
              </w:rPr>
              <w:t>Supported agent topologies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A0E6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766B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98B3"/>
        </w:tc>
      </w:tr>
      <w:tr w14:paraId="7C50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5829">
            <w:r>
              <w:rPr>
                <w:sz w:val="20"/>
                <w:szCs w:val="20"/>
              </w:rPr>
              <w:t>State-persistence model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E2F4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7E1C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DF59"/>
        </w:tc>
      </w:tr>
      <w:tr w14:paraId="10C7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48C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Integration ease with a self-hosted reasoning model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71D3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97B2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852C">
            <w:pPr>
              <w:rPr>
                <w:lang w:val="en-US"/>
              </w:rPr>
            </w:pPr>
          </w:p>
        </w:tc>
      </w:tr>
      <w:tr w14:paraId="6FC9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1BFC">
            <w:r>
              <w:rPr>
                <w:sz w:val="20"/>
                <w:szCs w:val="20"/>
              </w:rPr>
              <w:t>Latency overhead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8108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D00C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226A"/>
        </w:tc>
      </w:tr>
      <w:tr w14:paraId="238C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8EEF">
            <w:r>
              <w:rPr>
                <w:sz w:val="20"/>
                <w:szCs w:val="20"/>
              </w:rPr>
              <w:t>Debuggability / observability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2CE1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AD93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A138"/>
        </w:tc>
      </w:tr>
      <w:tr w14:paraId="3CE8C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6612">
            <w:r>
              <w:rPr>
                <w:sz w:val="20"/>
                <w:szCs w:val="20"/>
              </w:rPr>
              <w:t>Community maturity / licensing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AB16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5013"/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9DB9"/>
        </w:tc>
      </w:tr>
      <w:tr w14:paraId="2F90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6411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Fit as-is / needs adaptation</w:t>
            </w: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B526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2587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E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AB20">
            <w:pPr>
              <w:rPr>
                <w:lang w:val="en-US"/>
              </w:rPr>
            </w:pPr>
          </w:p>
        </w:tc>
      </w:tr>
      <w:bookmarkEnd w:id="0"/>
    </w:tbl>
    <w:p w14:paraId="5760338D">
      <w:pPr>
        <w:pStyle w:val="2"/>
        <w:rPr>
          <w:lang w:val="en-US"/>
        </w:rPr>
      </w:pPr>
    </w:p>
    <w:p w14:paraId="5A6A18FA">
      <w:pPr>
        <w:pStyle w:val="2"/>
        <w:rPr>
          <w:lang w:val="en-US"/>
        </w:rPr>
      </w:pPr>
      <w:r>
        <w:rPr>
          <w:lang w:val="en-US"/>
        </w:rPr>
        <w:t>Figures Referenced in This Proposal</w:t>
      </w:r>
    </w:p>
    <w:p w14:paraId="334D1DCA">
      <w:pPr>
        <w:spacing w:after="160"/>
        <w:rPr>
          <w:lang w:val="en-US"/>
        </w:rPr>
      </w:pPr>
      <w:r>
        <w:rPr>
          <w:lang w:val="en-US"/>
        </w:rPr>
        <w:t>Reproduced here from the Project Architecture &amp; Workflow Guide for convenience; see that document for the full explanation and Figure 1 (the four-layer overview).</w:t>
      </w:r>
    </w:p>
    <w:p w14:paraId="307CA899">
      <w:pPr>
        <w:spacing w:before="120" w:after="80"/>
        <w:jc w:val="center"/>
      </w:pPr>
      <w:r>
        <w:drawing>
          <wp:inline distT="0" distB="0" distL="0" distR="0">
            <wp:extent cx="5334000" cy="3590925"/>
            <wp:effectExtent l="0" t="0" r="0" b="0"/>
            <wp:docPr id="1" name="Tier 1 and Tier 2 detail" descr="Tier 1 and Tier 2 detail" title="Tier 1 and Tier 2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er 1 and Tier 2 detail" descr="Tier 1 and Tier 2 detail" title="Tier 1 and Tier 2 detai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C3BC">
      <w:pPr>
        <w:spacing w:after="260"/>
        <w:jc w:val="center"/>
      </w:pPr>
      <w:r>
        <w:rPr>
          <w:i/>
          <w:iCs/>
          <w:color w:val="555555"/>
          <w:sz w:val="18"/>
          <w:szCs w:val="18"/>
          <w:lang w:val="en-US"/>
        </w:rPr>
        <w:t xml:space="preserve">Figure 2 — Tier 1 (fast, rule-based) and Tier 2 (slower, reasoning-based). </w:t>
      </w:r>
      <w:r>
        <w:rPr>
          <w:i/>
          <w:iCs/>
          <w:color w:val="555555"/>
          <w:sz w:val="18"/>
          <w:szCs w:val="18"/>
        </w:rPr>
        <w:t>Track A owns everything inside Tier 2.</w:t>
      </w:r>
    </w:p>
    <w:p w14:paraId="36CDC815">
      <w:pPr>
        <w:spacing w:before="120" w:after="80"/>
        <w:jc w:val="center"/>
      </w:pPr>
      <w:r>
        <w:drawing>
          <wp:inline distT="0" distB="0" distL="0" distR="0">
            <wp:extent cx="4381500" cy="3981450"/>
            <wp:effectExtent l="0" t="0" r="0" b="0"/>
            <wp:docPr id="371546362" name="End-to-end workflow" descr="End-to-end workflow" title="End-to-end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6362" name="End-to-end workflow" descr="End-to-end workflow" title="End-to-end workf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9DBB">
      <w:pPr>
        <w:spacing w:after="260"/>
        <w:jc w:val="center"/>
        <w:rPr>
          <w:lang w:val="en-US"/>
        </w:rPr>
      </w:pPr>
      <w:r>
        <w:rPr>
          <w:i/>
          <w:iCs/>
          <w:color w:val="555555"/>
          <w:sz w:val="18"/>
          <w:szCs w:val="18"/>
          <w:lang w:val="en-US"/>
        </w:rPr>
        <w:t>Figure 3 — The end-to-end workflow. Track A owns steps 4b through 7.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0CEB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88D33">
    <w:pPr>
      <w:jc w:val="right"/>
    </w:pPr>
    <w:r>
      <w:rPr>
        <w:color w:val="888888"/>
        <w:sz w:val="16"/>
        <w:szCs w:val="16"/>
      </w:rPr>
      <w:t>Internship Proposal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C6B79"/>
    <w:multiLevelType w:val="multilevel"/>
    <w:tmpl w:val="157C6B7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F2C31B2"/>
    <w:multiLevelType w:val="multilevel"/>
    <w:tmpl w:val="3F2C31B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094"/>
    <w:rsid w:val="00C13186"/>
    <w:rsid w:val="00C8780E"/>
    <w:rsid w:val="00FB4094"/>
    <w:rsid w:val="00FD7B91"/>
    <w:rsid w:val="3888253E"/>
    <w:rsid w:val="57AC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fr-FR" w:eastAsia="fr-FR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Arial" w:hAnsi="Arial" w:eastAsia="Arial" w:cs="Arial"/>
      <w:b/>
      <w:bCs/>
      <w:color w:val="1F4E5F"/>
      <w:sz w:val="30"/>
      <w:szCs w:val="30"/>
      <w:lang w:val="fr-FR" w:eastAsia="fr-FR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5"/>
      <w:szCs w:val="25"/>
      <w:lang w:val="fr-FR" w:eastAsia="fr-FR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fr-FR" w:eastAsia="fr-FR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fr-FR" w:eastAsia="fr-FR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fr-FR" w:eastAsia="fr-FR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fr-FR" w:eastAsia="fr-FR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fr-FR" w:eastAsia="fr-FR" w:bidi="ar-SA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fr-FR" w:eastAsia="fr-FR" w:bidi="ar-SA"/>
    </w:rPr>
  </w:style>
  <w:style w:type="paragraph" w:styleId="14">
    <w:name w:val="Title"/>
    <w:qFormat/>
    <w:uiPriority w:val="10"/>
    <w:rPr>
      <w:rFonts w:ascii="Arial" w:hAnsi="Arial" w:eastAsia="Arial" w:cs="Arial"/>
      <w:sz w:val="56"/>
      <w:szCs w:val="56"/>
      <w:lang w:val="fr-FR" w:eastAsia="fr-FR" w:bidi="ar-SA"/>
    </w:rPr>
  </w:style>
  <w:style w:type="paragraph" w:customStyle="1" w:styleId="16">
    <w:name w:val="Élevé1"/>
    <w:qFormat/>
    <w:uiPriority w:val="0"/>
    <w:rPr>
      <w:rFonts w:ascii="Arial" w:hAnsi="Arial" w:eastAsia="Arial" w:cs="Arial"/>
      <w:b/>
      <w:bCs/>
      <w:sz w:val="22"/>
      <w:szCs w:val="22"/>
      <w:lang w:val="fr-FR" w:eastAsia="fr-FR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  <w:lang w:val="fr-FR" w:eastAsia="fr-FR" w:bidi="ar-SA"/>
    </w:rPr>
  </w:style>
  <w:style w:type="character" w:customStyle="1" w:styleId="18">
    <w:name w:val="Note de bas de page Car"/>
    <w:link w:val="13"/>
    <w:semiHidden/>
    <w:unhideWhenUsed/>
    <w:uiPriority w:val="99"/>
    <w:rPr>
      <w:sz w:val="20"/>
      <w:szCs w:val="20"/>
    </w:rPr>
  </w:style>
  <w:style w:type="character" w:customStyle="1" w:styleId="19">
    <w:name w:val="Note de fin C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1816</Words>
  <Characters>10298</Characters>
  <Lines>85</Lines>
  <Paragraphs>24</Paragraphs>
  <TotalTime>13</TotalTime>
  <ScaleCrop>false</ScaleCrop>
  <LinksUpToDate>false</LinksUpToDate>
  <CharactersWithSpaces>11951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2026-07-09T13:00:00Z</dcterms:created>
  <dc:creator>Un-named</dc:creator>
  <cp:lastModifiedBy>User</cp:lastModifiedBy>
  <dcterms:modified xsi:type="dcterms:W3CDTF">2026-08-14T09:46:38Z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eyJoZGlkIjoiZTMyNWJiZTMyMTMwZDI3OWRmZDk0YTNkZGE3MWYwOWMifQ==</vt:lpwstr>
  </property>
  <property fmtid="{D5CDD505-2E9C-101B-9397-08002B2CF9AE}" pid="3" name="KSOProductBuildVer">
    <vt:lpwstr>1036-12.1.0.28032</vt:lpwstr>
  </property>
  <property fmtid="{D5CDD505-2E9C-101B-9397-08002B2CF9AE}" pid="4" name="ICV">
    <vt:lpwstr>97D7E5654B274477845BC10B387344EB_12</vt:lpwstr>
  </property>
</Properties>
</file>