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5183717913ebeef4078f0e597f48f2f4e73e46"/>
    <w:p>
      <w:pPr>
        <w:pStyle w:val="Heading1"/>
      </w:pPr>
      <w:r>
        <w:t xml:space="preserve">HormuzWatch Plugin Framework Architecture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HormuzWatch Plugin Framework is a provider-agnostic and transport-agnostic integration layer responsible for onboarding external intelligence, telemetry, maritime, aviation, satellite, weather, and geopolitical data sources into the platform.</w:t>
      </w:r>
    </w:p>
    <w:p>
      <w:pPr>
        <w:pStyle w:val="BodyText"/>
      </w:pPr>
      <w:r>
        <w:t xml:space="preserve">The framework serves as the platform’s integration boundary, ensuring that provider-specific payloads never directly impact the threat engine, machine learning pipeline, storage layer, frontend, or future processing systems.</w:t>
      </w:r>
    </w:p>
    <w:p>
      <w:pPr>
        <w:pStyle w:val="BodyText"/>
      </w:pPr>
      <w:r>
        <w:t xml:space="preserve">Its primary responsibility is to transform external data into a standardized canonical event model that can be consumed consistently across the platform.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al-objectives"/>
    <w:p>
      <w:pPr>
        <w:pStyle w:val="Heading1"/>
      </w:pPr>
      <w:r>
        <w:t xml:space="preserve">Architectural Objectives</w:t>
      </w:r>
    </w:p>
    <w:p>
      <w:pPr>
        <w:pStyle w:val="FirstParagraph"/>
      </w:pPr>
      <w:r>
        <w:t xml:space="preserve">The framework is designed to:</w:t>
      </w:r>
    </w:p>
    <w:p>
      <w:pPr>
        <w:pStyle w:val="Compact"/>
        <w:numPr>
          <w:ilvl w:val="0"/>
          <w:numId w:val="1001"/>
        </w:numPr>
      </w:pPr>
      <w:r>
        <w:t xml:space="preserve">Simplify integration of new intelligence providers</w:t>
      </w:r>
    </w:p>
    <w:p>
      <w:pPr>
        <w:pStyle w:val="Compact"/>
        <w:numPr>
          <w:ilvl w:val="0"/>
          <w:numId w:val="1001"/>
        </w:numPr>
      </w:pPr>
      <w:r>
        <w:t xml:space="preserve">Eliminate provider-specific logic from business services</w:t>
      </w:r>
    </w:p>
    <w:p>
      <w:pPr>
        <w:pStyle w:val="Compact"/>
        <w:numPr>
          <w:ilvl w:val="0"/>
          <w:numId w:val="1001"/>
        </w:numPr>
      </w:pPr>
      <w:r>
        <w:t xml:space="preserve">Support multiple ingestion patterns</w:t>
      </w:r>
    </w:p>
    <w:p>
      <w:pPr>
        <w:pStyle w:val="Compact"/>
        <w:numPr>
          <w:ilvl w:val="0"/>
          <w:numId w:val="1001"/>
        </w:numPr>
      </w:pPr>
      <w:r>
        <w:t xml:space="preserve">Support future scaling requirements</w:t>
      </w:r>
    </w:p>
    <w:p>
      <w:pPr>
        <w:pStyle w:val="Compact"/>
        <w:numPr>
          <w:ilvl w:val="0"/>
          <w:numId w:val="1001"/>
        </w:numPr>
      </w:pPr>
      <w:r>
        <w:t xml:space="preserve">Prevent vendor lock-in</w:t>
      </w:r>
    </w:p>
    <w:p>
      <w:pPr>
        <w:pStyle w:val="Compact"/>
        <w:numPr>
          <w:ilvl w:val="0"/>
          <w:numId w:val="1001"/>
        </w:numPr>
      </w:pPr>
      <w:r>
        <w:t xml:space="preserve">Maintain a stable internal data contract</w:t>
      </w:r>
    </w:p>
    <w:p>
      <w:pPr>
        <w:pStyle w:val="Compact"/>
        <w:numPr>
          <w:ilvl w:val="0"/>
          <w:numId w:val="1001"/>
        </w:numPr>
      </w:pPr>
      <w:r>
        <w:t xml:space="preserve">Enable future event-driven architectures</w:t>
      </w:r>
    </w:p>
    <w:p>
      <w:pPr>
        <w:pStyle w:val="FirstParagraph"/>
      </w:pPr>
      <w:r>
        <w:t xml:space="preserve">The framework should remain independent from:</w:t>
      </w:r>
    </w:p>
    <w:p>
      <w:pPr>
        <w:pStyle w:val="Compact"/>
        <w:numPr>
          <w:ilvl w:val="0"/>
          <w:numId w:val="1002"/>
        </w:numPr>
      </w:pPr>
      <w:r>
        <w:t xml:space="preserve">Azure Event Hubs</w:t>
      </w:r>
    </w:p>
    <w:p>
      <w:pPr>
        <w:pStyle w:val="Compact"/>
        <w:numPr>
          <w:ilvl w:val="0"/>
          <w:numId w:val="1002"/>
        </w:numPr>
      </w:pPr>
      <w:r>
        <w:t xml:space="preserve">Azure Service Bus</w:t>
      </w:r>
    </w:p>
    <w:p>
      <w:pPr>
        <w:pStyle w:val="Compact"/>
        <w:numPr>
          <w:ilvl w:val="0"/>
          <w:numId w:val="1002"/>
        </w:numPr>
      </w:pPr>
      <w:r>
        <w:t xml:space="preserve">Apache Kafka</w:t>
      </w:r>
    </w:p>
    <w:p>
      <w:pPr>
        <w:pStyle w:val="Compact"/>
        <w:numPr>
          <w:ilvl w:val="0"/>
          <w:numId w:val="1002"/>
        </w:numPr>
      </w:pPr>
      <w:r>
        <w:t xml:space="preserve">RabbitMQ</w:t>
      </w:r>
    </w:p>
    <w:p>
      <w:pPr>
        <w:pStyle w:val="Compact"/>
        <w:numPr>
          <w:ilvl w:val="0"/>
          <w:numId w:val="1002"/>
        </w:numPr>
      </w:pPr>
      <w:r>
        <w:t xml:space="preserve">Redis Streams</w:t>
      </w:r>
    </w:p>
    <w:p>
      <w:pPr>
        <w:pStyle w:val="Compact"/>
        <w:numPr>
          <w:ilvl w:val="0"/>
          <w:numId w:val="1002"/>
        </w:numPr>
      </w:pPr>
      <w:r>
        <w:t xml:space="preserve">Cloud-specific services</w:t>
      </w:r>
    </w:p>
    <w:p>
      <w:pPr>
        <w:pStyle w:val="Compact"/>
        <w:numPr>
          <w:ilvl w:val="0"/>
          <w:numId w:val="1002"/>
        </w:numPr>
      </w:pPr>
      <w:r>
        <w:t xml:space="preserve">Third-party API vendors</w:t>
      </w:r>
    </w:p>
    <w:p>
      <w:pPr>
        <w:pStyle w:val="FirstParagraph"/>
      </w:pPr>
      <w:r>
        <w:t xml:space="preserve">These technologies should be optional implementation choices rather than architectural dependencies.</w:t>
      </w:r>
    </w:p>
    <w:p>
      <w:r>
        <w:pict>
          <v:rect style="width:0;height:1.5pt" o:hralign="center" o:hrstd="t" o:hr="t"/>
        </w:pict>
      </w:r>
    </w:p>
    <w:bookmarkEnd w:id="22"/>
    <w:bookmarkStart w:id="23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Plugin Framework follows the Open/Closed Principle.</w:t>
      </w:r>
    </w:p>
    <w:p>
      <w:pPr>
        <w:pStyle w:val="BodyText"/>
      </w:pPr>
      <w:r>
        <w:t xml:space="preserve">The platform should be:</w:t>
      </w:r>
    </w:p>
    <w:p>
      <w:pPr>
        <w:pStyle w:val="BodyText"/>
      </w:pPr>
      <w:r>
        <w:rPr>
          <w:b/>
          <w:bCs/>
        </w:rPr>
        <w:t xml:space="preserve">Open for Extension</w:t>
      </w:r>
    </w:p>
    <w:p>
      <w:pPr>
        <w:pStyle w:val="BodyText"/>
      </w:pPr>
      <w:r>
        <w:t xml:space="preserve">New providers can be added without modifying existing platform components.</w:t>
      </w:r>
    </w:p>
    <w:p>
      <w:pPr>
        <w:pStyle w:val="BodyText"/>
      </w:pPr>
      <w:r>
        <w:rPr>
          <w:b/>
          <w:bCs/>
        </w:rPr>
        <w:t xml:space="preserve">Closed for Modification</w:t>
      </w:r>
    </w:p>
    <w:p>
      <w:pPr>
        <w:pStyle w:val="BodyText"/>
      </w:pPr>
      <w:r>
        <w:t xml:space="preserve">The threat engine, ML pipeline, storage systems, and frontend should not require changes when new data sources are introduced.</w:t>
      </w:r>
    </w:p>
    <w:p>
      <w:pPr>
        <w:pStyle w:val="BodyText"/>
      </w:pPr>
      <w:r>
        <w:t xml:space="preserve">Adding a new provider should require:</w:t>
      </w:r>
    </w:p>
    <w:p>
      <w:pPr>
        <w:pStyle w:val="SourceCode"/>
      </w:pPr>
      <w:r>
        <w:rPr>
          <w:rStyle w:val="VerbatimChar"/>
        </w:rPr>
        <w:t xml:space="preserve">Create Plugin</w:t>
      </w:r>
      <w:r>
        <w:br/>
      </w:r>
      <w:r>
        <w:rPr>
          <w:rStyle w:val="VerbatimChar"/>
        </w:rPr>
        <w:t xml:space="preserve">Register Plugin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It should not require:</w:t>
      </w:r>
    </w:p>
    <w:p>
      <w:pPr>
        <w:pStyle w:val="SourceCode"/>
      </w:pPr>
      <w:r>
        <w:rPr>
          <w:rStyle w:val="VerbatimChar"/>
        </w:rPr>
        <w:t xml:space="preserve">Modify Threat Engine</w:t>
      </w:r>
      <w:r>
        <w:br/>
      </w:r>
      <w:r>
        <w:rPr>
          <w:rStyle w:val="VerbatimChar"/>
        </w:rPr>
        <w:t xml:space="preserve">Modify ML Model</w:t>
      </w:r>
      <w:r>
        <w:br/>
      </w:r>
      <w:r>
        <w:rPr>
          <w:rStyle w:val="VerbatimChar"/>
        </w:rPr>
        <w:t xml:space="preserve">Modify Database</w:t>
      </w:r>
      <w:r>
        <w:br/>
      </w:r>
      <w:r>
        <w:rPr>
          <w:rStyle w:val="VerbatimChar"/>
        </w:rPr>
        <w:t xml:space="preserve">Modify Frontend</w:t>
      </w:r>
      <w:r>
        <w:br/>
      </w:r>
      <w:r>
        <w:rPr>
          <w:rStyle w:val="VerbatimChar"/>
        </w:rPr>
        <w:t xml:space="preserve">Modify WebSocket Layer</w:t>
      </w:r>
    </w:p>
    <w:p>
      <w:r>
        <w:pict>
          <v:rect style="width:0;height:1.5pt" o:hralign="center" o:hrstd="t" o:hr="t"/>
        </w:pict>
      </w:r>
    </w:p>
    <w:bookmarkEnd w:id="23"/>
    <w:bookmarkStart w:id="24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External Source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Normalization Layer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Canonical Event Model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Processing Pipeline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Threat Engine</w:t>
      </w:r>
      <w:r>
        <w:br/>
      </w:r>
      <w:r>
        <w:rPr>
          <w:rStyle w:val="VerbatimChar"/>
        </w:rPr>
        <w:t xml:space="preserve">       ├── ML Engine</w:t>
      </w:r>
      <w:r>
        <w:br/>
      </w:r>
      <w:r>
        <w:rPr>
          <w:rStyle w:val="VerbatimChar"/>
        </w:rPr>
        <w:t xml:space="preserve">       ├── Storage</w:t>
      </w:r>
      <w:r>
        <w:br/>
      </w:r>
      <w:r>
        <w:rPr>
          <w:rStyle w:val="VerbatimChar"/>
        </w:rPr>
        <w:t xml:space="preserve">       ├── Analytics</w:t>
      </w:r>
      <w:r>
        <w:br/>
      </w:r>
      <w:r>
        <w:rPr>
          <w:rStyle w:val="VerbatimChar"/>
        </w:rPr>
        <w:t xml:space="preserve">       └── WebSocket Hub</w:t>
      </w:r>
    </w:p>
    <w:p>
      <w:pPr>
        <w:pStyle w:val="FirstParagraph"/>
      </w:pPr>
      <w:r>
        <w:t xml:space="preserve">The platform processes normalized events rather than provider-specific payloads.</w:t>
      </w:r>
    </w:p>
    <w:p>
      <w:r>
        <w:pict>
          <v:rect style="width:0;height:1.5pt" o:hralign="center" o:hrstd="t" o:hr="t"/>
        </w:pict>
      </w:r>
    </w:p>
    <w:bookmarkEnd w:id="24"/>
    <w:bookmarkStart w:id="25" w:name="canonical-event-model"/>
    <w:p>
      <w:pPr>
        <w:pStyle w:val="Heading1"/>
      </w:pPr>
      <w:r>
        <w:t xml:space="preserve">Canonical Event Model</w:t>
      </w:r>
    </w:p>
    <w:p>
      <w:pPr>
        <w:pStyle w:val="FirstParagraph"/>
      </w:pPr>
      <w:r>
        <w:t xml:space="preserve">All plugins must transform their provider-specific data into a shared event structure.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ID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Source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Category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Timestamp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float64</w:t>
      </w:r>
      <w:r>
        <w:br/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float64</w:t>
      </w:r>
      <w:r>
        <w:br/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float64</w:t>
      </w:r>
      <w:r>
        <w:br/>
      </w:r>
      <w:r>
        <w:br/>
      </w:r>
      <w:r>
        <w:rPr>
          <w:rStyle w:val="NormalTok"/>
        </w:rPr>
        <w:t xml:space="preserve">    Metadata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Aircraft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"aircraft"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Maritime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"vessel"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Wildfire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"wildfire"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News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"gdelt"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"geopolitical"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rest of the platform only understands Event objects.</w:t>
      </w:r>
    </w:p>
    <w:p>
      <w:r>
        <w:pict>
          <v:rect style="width:0;height:1.5pt" o:hralign="center" o:hrstd="t" o:hr="t"/>
        </w:pict>
      </w:r>
    </w:p>
    <w:bookmarkEnd w:id="25"/>
    <w:bookmarkStart w:id="26" w:name="plugin-lifecycle"/>
    <w:p>
      <w:pPr>
        <w:pStyle w:val="Heading1"/>
      </w:pPr>
      <w:r>
        <w:t xml:space="preserve">Plugin Lifecycle</w:t>
      </w:r>
    </w:p>
    <w:p>
      <w:pPr>
        <w:pStyle w:val="FirstParagraph"/>
      </w:pPr>
      <w:r>
        <w:t xml:space="preserve">Every plugin follows the same lifecycle.</w:t>
      </w:r>
    </w:p>
    <w:p>
      <w:pPr>
        <w:pStyle w:val="SourceCode"/>
      </w:pP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Publish Event</w:t>
      </w:r>
    </w:p>
    <w:p>
      <w:pPr>
        <w:pStyle w:val="FirstParagraph"/>
      </w:pPr>
      <w:r>
        <w:t xml:space="preserve">This ensures consistent processing regardless of source.</w:t>
      </w:r>
    </w:p>
    <w:p>
      <w:r>
        <w:pict>
          <v:rect style="width:0;height:1.5pt" o:hralign="center" o:hrstd="t" o:hr="t"/>
        </w:pict>
      </w:r>
    </w:p>
    <w:bookmarkEnd w:id="26"/>
    <w:bookmarkStart w:id="27" w:name="plugin-interface"/>
    <w:p>
      <w:pPr>
        <w:pStyle w:val="Heading1"/>
      </w:pPr>
      <w:r>
        <w:t xml:space="preserve">Plugin Interface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Plugin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Fetch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RawRecord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RawRecord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Fetch()</w:t>
      </w:r>
    </w:p>
    <w:p>
      <w:pPr>
        <w:pStyle w:val="Compact"/>
        <w:numPr>
          <w:ilvl w:val="0"/>
          <w:numId w:val="1003"/>
        </w:numPr>
      </w:pPr>
      <w:r>
        <w:t xml:space="preserve">Retrieve provider-specific data</w:t>
      </w:r>
    </w:p>
    <w:p>
      <w:pPr>
        <w:pStyle w:val="FirstParagraph"/>
      </w:pPr>
      <w:r>
        <w:t xml:space="preserve">Normalize()</w:t>
      </w:r>
    </w:p>
    <w:p>
      <w:pPr>
        <w:pStyle w:val="Compact"/>
        <w:numPr>
          <w:ilvl w:val="0"/>
          <w:numId w:val="1004"/>
        </w:numPr>
      </w:pPr>
      <w:r>
        <w:t xml:space="preserve">Convert raw payloads into canonical events</w:t>
      </w:r>
    </w:p>
    <w:p>
      <w:pPr>
        <w:pStyle w:val="FirstParagraph"/>
      </w:pPr>
      <w:r>
        <w:t xml:space="preserve">Health()</w:t>
      </w:r>
    </w:p>
    <w:p>
      <w:pPr>
        <w:pStyle w:val="Compact"/>
        <w:numPr>
          <w:ilvl w:val="0"/>
          <w:numId w:val="1005"/>
        </w:numPr>
      </w:pPr>
      <w:r>
        <w:t xml:space="preserve">Verify plugin availability</w:t>
      </w:r>
    </w:p>
    <w:p>
      <w:pPr>
        <w:pStyle w:val="FirstParagraph"/>
      </w:pPr>
      <w:r>
        <w:t xml:space="preserve">The framework should never expose provider-specific implementations to downstream services.</w:t>
      </w:r>
    </w:p>
    <w:p>
      <w:r>
        <w:pict>
          <v:rect style="width:0;height:1.5pt" o:hralign="center" o:hrstd="t" o:hr="t"/>
        </w:pict>
      </w:r>
    </w:p>
    <w:bookmarkEnd w:id="27"/>
    <w:bookmarkStart w:id="28" w:name="plugin-registry"/>
    <w:p>
      <w:pPr>
        <w:pStyle w:val="Heading1"/>
      </w:pPr>
      <w:r>
        <w:t xml:space="preserve">Plugin Registry</w:t>
      </w:r>
    </w:p>
    <w:p>
      <w:pPr>
        <w:pStyle w:val="FirstParagraph"/>
      </w:pPr>
      <w:r>
        <w:t xml:space="preserve">All plugins are managed through a central registry.</w:t>
      </w:r>
    </w:p>
    <w:p>
      <w:pPr>
        <w:pStyle w:val="BodyText"/>
      </w:pPr>
      <w:r>
        <w:t xml:space="preserve">Pseudo-code: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plugins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Plugin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Registration:</w:t>
      </w:r>
    </w:p>
    <w:p>
      <w:pPr>
        <w:pStyle w:val="SourceCode"/>
      </w:pP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NewAISPlugin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NewOpenSkyPlugin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NewGDELTPlugin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NewNASAFIRMSPlugin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registry acts as the platform’s source of truth for available integrations.</w:t>
      </w:r>
    </w:p>
    <w:p>
      <w:r>
        <w:pict>
          <v:rect style="width:0;height:1.5pt" o:hralign="center" o:hrstd="t" o:hr="t"/>
        </w:pict>
      </w:r>
    </w:p>
    <w:bookmarkEnd w:id="28"/>
    <w:bookmarkStart w:id="29" w:name="processing-pipeline"/>
    <w:p>
      <w:pPr>
        <w:pStyle w:val="Heading1"/>
      </w:pPr>
      <w:r>
        <w:t xml:space="preserve">Processing Pipeline</w:t>
      </w:r>
    </w:p>
    <w:p>
      <w:pPr>
        <w:pStyle w:val="FirstParagraph"/>
      </w:pPr>
      <w:r>
        <w:t xml:space="preserve">Current Architecture: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Canonical Event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Threat Engine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This remains the default implementation.</w:t>
      </w:r>
    </w:p>
    <w:p>
      <w:r>
        <w:pict>
          <v:rect style="width:0;height:1.5pt" o:hralign="center" o:hrstd="t" o:hr="t"/>
        </w:pict>
      </w:r>
    </w:p>
    <w:bookmarkEnd w:id="29"/>
    <w:bookmarkStart w:id="30" w:name="transport-independence"/>
    <w:p>
      <w:pPr>
        <w:pStyle w:val="Heading1"/>
      </w:pPr>
      <w:r>
        <w:t xml:space="preserve">Transport Independence</w:t>
      </w:r>
    </w:p>
    <w:p>
      <w:pPr>
        <w:pStyle w:val="FirstParagraph"/>
      </w:pPr>
      <w:r>
        <w:t xml:space="preserve">The Plugin Framework is intentionally separated from event transport technologies.</w:t>
      </w:r>
    </w:p>
    <w:p>
      <w:pPr>
        <w:pStyle w:val="BodyText"/>
      </w:pPr>
      <w:r>
        <w:t xml:space="preserve">After normalization, events may be routed through different processing backends depending on deployment requirements.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Canonical Event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Processing Options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Direct Processing    │</w:t>
      </w:r>
      <w:r>
        <w:br/>
      </w:r>
      <w:r>
        <w:rPr>
          <w:rStyle w:val="VerbatimChar"/>
        </w:rPr>
        <w:t xml:space="preserve">│ Azure Event Hubs     │</w:t>
      </w:r>
      <w:r>
        <w:br/>
      </w:r>
      <w:r>
        <w:rPr>
          <w:rStyle w:val="VerbatimChar"/>
        </w:rPr>
        <w:t xml:space="preserve">│ Azure Service Bus    │</w:t>
      </w:r>
      <w:r>
        <w:br/>
      </w:r>
      <w:r>
        <w:rPr>
          <w:rStyle w:val="VerbatimChar"/>
        </w:rPr>
        <w:t xml:space="preserve">│ Apache Kafka         │</w:t>
      </w:r>
      <w:r>
        <w:br/>
      </w:r>
      <w:r>
        <w:rPr>
          <w:rStyle w:val="VerbatimChar"/>
        </w:rPr>
        <w:t xml:space="preserve">│ RabbitMQ             │</w:t>
      </w:r>
      <w:r>
        <w:br/>
      </w:r>
      <w:r>
        <w:rPr>
          <w:rStyle w:val="VerbatimChar"/>
        </w:rPr>
        <w:t xml:space="preserve">│ Redis Streams        │</w:t>
      </w:r>
      <w:r>
        <w:br/>
      </w:r>
      <w:r>
        <w:rPr>
          <w:rStyle w:val="VerbatimChar"/>
        </w:rPr>
        <w:t xml:space="preserve">│ Future Event Systems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FirstParagraph"/>
      </w:pPr>
      <w:r>
        <w:t xml:space="preserve">Because acquisition and normalization are decoupled from transport, the platform can adopt new messaging technologies without requiring plugin modifications.</w:t>
      </w:r>
    </w:p>
    <w:p>
      <w:r>
        <w:pict>
          <v:rect style="width:0;height:1.5pt" o:hralign="center" o:hrstd="t" o:hr="t"/>
        </w:pict>
      </w:r>
    </w:p>
    <w:bookmarkEnd w:id="30"/>
    <w:bookmarkStart w:id="31" w:name="future-event-driven-architecture"/>
    <w:p>
      <w:pPr>
        <w:pStyle w:val="Heading1"/>
      </w:pPr>
      <w:r>
        <w:t xml:space="preserve">Future Event-Driven Architecture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Threat Engine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Canonical Event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Azure Event Hubs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Consumers</w:t>
      </w:r>
      <w:r>
        <w:br/>
      </w:r>
      <w:r>
        <w:br/>
      </w:r>
      <w:r>
        <w:rPr>
          <w:rStyle w:val="VerbatimChar"/>
        </w:rPr>
        <w:t xml:space="preserve">├── Threat Engine</w:t>
      </w:r>
      <w:r>
        <w:br/>
      </w:r>
      <w:r>
        <w:rPr>
          <w:rStyle w:val="VerbatimChar"/>
        </w:rPr>
        <w:t xml:space="preserve">├── ML Engine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Storage</w:t>
      </w:r>
      <w:r>
        <w:br/>
      </w:r>
      <w:r>
        <w:rPr>
          <w:rStyle w:val="VerbatimChar"/>
        </w:rPr>
        <w:t xml:space="preserve">└── Alerting</w:t>
      </w:r>
    </w:p>
    <w:p>
      <w:pPr>
        <w:pStyle w:val="FirstParagraph"/>
      </w:pPr>
      <w:r>
        <w:t xml:space="preserve">The plugin implementation remains unchanged.</w:t>
      </w:r>
    </w:p>
    <w:p>
      <w:pPr>
        <w:pStyle w:val="BodyText"/>
      </w:pPr>
      <w:r>
        <w:t xml:space="preserve">Only the event transport layer evolves.</w:t>
      </w:r>
    </w:p>
    <w:p>
      <w:r>
        <w:pict>
          <v:rect style="width:0;height:1.5pt" o:hralign="center" o:hrstd="t" o:hr="t"/>
        </w:pict>
      </w:r>
    </w:p>
    <w:bookmarkEnd w:id="31"/>
    <w:bookmarkStart w:id="32" w:name="directory-structure"/>
    <w:p>
      <w:pPr>
        <w:pStyle w:val="Heading1"/>
      </w:pPr>
      <w:r>
        <w:t xml:space="preserve">Directory Structure</w:t>
      </w:r>
    </w:p>
    <w:p>
      <w:pPr>
        <w:pStyle w:val="FirstParagraph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internal/</w:t>
      </w:r>
      <w:r>
        <w:br/>
      </w:r>
      <w:r>
        <w:br/>
      </w:r>
      <w:r>
        <w:rPr>
          <w:rStyle w:val="VerbatimChar"/>
        </w:rPr>
        <w:t xml:space="preserve">├── plugins/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registry/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normalization/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ingestion/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processing/</w:t>
      </w:r>
    </w:p>
    <w:p>
      <w:pPr>
        <w:pStyle w:val="FirstParagraph"/>
      </w:pPr>
      <w:r>
        <w:t xml:space="preserve">Provider implementations:</w:t>
      </w:r>
    </w:p>
    <w:p>
      <w:pPr>
        <w:pStyle w:val="SourceCode"/>
      </w:pPr>
      <w:r>
        <w:rPr>
          <w:rStyle w:val="VerbatimChar"/>
        </w:rPr>
        <w:t xml:space="preserve">plugins/</w:t>
      </w:r>
      <w:r>
        <w:br/>
      </w:r>
      <w:r>
        <w:br/>
      </w:r>
      <w:r>
        <w:rPr>
          <w:rStyle w:val="VerbatimChar"/>
        </w:rPr>
        <w:t xml:space="preserve">├── ais/</w:t>
      </w:r>
      <w:r>
        <w:br/>
      </w:r>
      <w:r>
        <w:rPr>
          <w:rStyle w:val="VerbatimChar"/>
        </w:rPr>
        <w:t xml:space="preserve">├── opensky/</w:t>
      </w:r>
      <w:r>
        <w:br/>
      </w:r>
      <w:r>
        <w:rPr>
          <w:rStyle w:val="VerbatimChar"/>
        </w:rPr>
        <w:t xml:space="preserve">├── gdelt/</w:t>
      </w:r>
      <w:r>
        <w:br/>
      </w:r>
      <w:r>
        <w:rPr>
          <w:rStyle w:val="VerbatimChar"/>
        </w:rPr>
        <w:t xml:space="preserve">├── firms/</w:t>
      </w:r>
      <w:r>
        <w:br/>
      </w:r>
      <w:r>
        <w:rPr>
          <w:rStyle w:val="VerbatimChar"/>
        </w:rPr>
        <w:t xml:space="preserve">├── weather/</w:t>
      </w:r>
      <w:r>
        <w:br/>
      </w:r>
      <w:r>
        <w:rPr>
          <w:rStyle w:val="VerbatimChar"/>
        </w:rPr>
        <w:t xml:space="preserve">├── satellite/</w:t>
      </w:r>
      <w:r>
        <w:br/>
      </w:r>
      <w:r>
        <w:rPr>
          <w:rStyle w:val="VerbatimChar"/>
        </w:rPr>
        <w:t xml:space="preserve">└── custom/</w:t>
      </w:r>
    </w:p>
    <w:p>
      <w:pPr>
        <w:pStyle w:val="FirstParagraph"/>
      </w:pPr>
      <w:r>
        <w:t xml:space="preserve">Each plugin remains isolated and independently maintainable.</w:t>
      </w:r>
    </w:p>
    <w:p>
      <w:r>
        <w:pict>
          <v:rect style="width:0;height:1.5pt" o:hralign="center" o:hrstd="t" o:hr="t"/>
        </w:pict>
      </w:r>
    </w:p>
    <w:bookmarkEnd w:id="32"/>
    <w:bookmarkStart w:id="33" w:name="benefits"/>
    <w:p>
      <w:pPr>
        <w:pStyle w:val="Heading1"/>
      </w:pPr>
      <w:r>
        <w:t xml:space="preserve">Benefits</w:t>
      </w:r>
    </w:p>
    <w:p>
      <w:pPr>
        <w:pStyle w:val="FirstParagraph"/>
      </w:pPr>
      <w:r>
        <w:t xml:space="preserve">The Plugin Framework provides:</w:t>
      </w:r>
    </w:p>
    <w:p>
      <w:pPr>
        <w:pStyle w:val="Compact"/>
        <w:numPr>
          <w:ilvl w:val="0"/>
          <w:numId w:val="1006"/>
        </w:numPr>
      </w:pPr>
      <w:r>
        <w:t xml:space="preserve">Extensibility</w:t>
      </w:r>
    </w:p>
    <w:p>
      <w:pPr>
        <w:pStyle w:val="Compact"/>
        <w:numPr>
          <w:ilvl w:val="0"/>
          <w:numId w:val="1006"/>
        </w:numPr>
      </w:pPr>
      <w:r>
        <w:t xml:space="preserve">Provider Independence</w:t>
      </w:r>
    </w:p>
    <w:p>
      <w:pPr>
        <w:pStyle w:val="Compact"/>
        <w:numPr>
          <w:ilvl w:val="0"/>
          <w:numId w:val="1006"/>
        </w:numPr>
      </w:pPr>
      <w:r>
        <w:t xml:space="preserve">Vendor Independence</w:t>
      </w:r>
    </w:p>
    <w:p>
      <w:pPr>
        <w:pStyle w:val="Compact"/>
        <w:numPr>
          <w:ilvl w:val="0"/>
          <w:numId w:val="1006"/>
        </w:numPr>
      </w:pPr>
      <w:r>
        <w:t xml:space="preserve">Cloud Agnosticism</w:t>
      </w:r>
    </w:p>
    <w:p>
      <w:pPr>
        <w:pStyle w:val="Compact"/>
        <w:numPr>
          <w:ilvl w:val="0"/>
          <w:numId w:val="1006"/>
        </w:numPr>
      </w:pPr>
      <w:r>
        <w:t xml:space="preserve">Simplified Testing</w:t>
      </w:r>
    </w:p>
    <w:p>
      <w:pPr>
        <w:pStyle w:val="Compact"/>
        <w:numPr>
          <w:ilvl w:val="0"/>
          <w:numId w:val="1006"/>
        </w:numPr>
      </w:pPr>
      <w:r>
        <w:t xml:space="preserve">Stable Internal Contracts</w:t>
      </w:r>
    </w:p>
    <w:p>
      <w:pPr>
        <w:pStyle w:val="Compact"/>
        <w:numPr>
          <w:ilvl w:val="0"/>
          <w:numId w:val="1006"/>
        </w:numPr>
      </w:pPr>
      <w:r>
        <w:t xml:space="preserve">Future Event-Driven Compatibility</w:t>
      </w:r>
    </w:p>
    <w:p>
      <w:pPr>
        <w:pStyle w:val="Compact"/>
        <w:numPr>
          <w:ilvl w:val="0"/>
          <w:numId w:val="1006"/>
        </w:numPr>
      </w:pPr>
      <w:r>
        <w:t xml:space="preserve">Reduced Technical Debt</w:t>
      </w:r>
    </w:p>
    <w:p>
      <w:pPr>
        <w:pStyle w:val="Compact"/>
        <w:numPr>
          <w:ilvl w:val="0"/>
          <w:numId w:val="1006"/>
        </w:numPr>
      </w:pPr>
      <w:r>
        <w:t xml:space="preserve">Simplified Onboarding of New Data Sources</w:t>
      </w:r>
    </w:p>
    <w:p>
      <w:r>
        <w:pict>
          <v:rect style="width:0;height:1.5pt" o:hralign="center" o:hrstd="t" o:hr="t"/>
        </w:pict>
      </w:r>
    </w:p>
    <w:bookmarkEnd w:id="33"/>
    <w:bookmarkStart w:id="34" w:name="strategic-importance"/>
    <w:p>
      <w:pPr>
        <w:pStyle w:val="Heading1"/>
      </w:pPr>
      <w:r>
        <w:t xml:space="preserve">Strategic Importance</w:t>
      </w:r>
    </w:p>
    <w:p>
      <w:pPr>
        <w:pStyle w:val="FirstParagraph"/>
      </w:pPr>
      <w:r>
        <w:t xml:space="preserve">The Plugin Framework is a foundational platform capability.</w:t>
      </w:r>
    </w:p>
    <w:p>
      <w:pPr>
        <w:pStyle w:val="BodyText"/>
      </w:pPr>
      <w:r>
        <w:t xml:space="preserve">Databases may change.</w:t>
      </w:r>
    </w:p>
    <w:p>
      <w:pPr>
        <w:pStyle w:val="BodyText"/>
      </w:pPr>
      <w:r>
        <w:t xml:space="preserve">Cloud providers may change.</w:t>
      </w:r>
    </w:p>
    <w:p>
      <w:pPr>
        <w:pStyle w:val="BodyText"/>
      </w:pPr>
      <w:r>
        <w:t xml:space="preserve">Messaging technologies may change.</w:t>
      </w:r>
    </w:p>
    <w:p>
      <w:pPr>
        <w:pStyle w:val="BodyText"/>
      </w:pPr>
      <w:r>
        <w:t xml:space="preserve">Machine learning models may change.</w:t>
      </w:r>
    </w:p>
    <w:p>
      <w:pPr>
        <w:pStyle w:val="BodyText"/>
      </w:pPr>
      <w:r>
        <w:t xml:space="preserve">The Plugin Framework remains the stable integration boundary that protects the platform from external changes while enabling continuous expansion of intelligence sources and processing capabilities.</w:t>
      </w:r>
    </w:p>
    <w:p>
      <w:pPr>
        <w:pStyle w:val="BodyText"/>
      </w:pPr>
      <w:r>
        <w:t xml:space="preserve">It serves as the foundation for future scalability, event-driven architectures, and multi-provider intelligence aggregation.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2026-06-05T09:22:36Z</dcterms:created>
  <dcterms:modified xsi:type="dcterms:W3CDTF">2026-06-05T09:22:36Z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