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Calibri" w:hAnsi="Calibri"/>
          <w:b/>
          <w:color w:val="19374E"/>
          <w:sz w:val="60"/>
        </w:rPr>
        <w:t>GED-SARTEX</w:t>
      </w:r>
    </w:p>
    <w:p>
      <w:pPr>
        <w:spacing w:after="480"/>
        <w:jc w:val="center"/>
      </w:pPr>
      <w:r>
        <w:rPr>
          <w:rFonts w:ascii="Calibri" w:hAnsi="Calibri"/>
          <w:color w:val="2E74B5"/>
          <w:sz w:val="32"/>
        </w:rPr>
        <w:t>Manuel de livraison, d’installation et d’utilisation</w:t>
      </w:r>
    </w:p>
    <w:p>
      <w:pPr>
        <w:spacing w:before="160" w:after="160"/>
        <w:ind w:left="216" w:right="216"/>
        <w:jc w:val="center"/>
        <w:shd w:fill="E8EEF5"/>
      </w:pPr>
      <w:r>
        <w:rPr>
          <w:rFonts w:ascii="Calibri" w:hAnsi="Calibri"/>
          <w:b/>
          <w:color w:val="19374E"/>
          <w:sz w:val="23"/>
        </w:rPr>
        <w:t>Version personnalisée de Paperless-ngx</w:t>
        <w:br/>
      </w:r>
      <w:r>
        <w:rPr>
          <w:rFonts w:ascii="Calibri" w:hAnsi="Calibri"/>
          <w:b w:val="0"/>
          <w:color w:val="19374E"/>
          <w:sz w:val="23"/>
        </w:rPr>
        <w:t>Armoires • signature visuelle • workflows séquentiels • interface française</w:t>
      </w:r>
    </w:p>
    <w:p>
      <w:pPr>
        <w:spacing w:before="1800"/>
        <w:jc w:val="center"/>
      </w:pPr>
      <w:r>
        <w:rPr>
          <w:rFonts w:ascii="Calibri" w:hAnsi="Calibri"/>
          <w:i/>
          <w:color w:val="5C6874"/>
          <w:sz w:val="21"/>
        </w:rPr>
        <w:t>Dossier destiné aux administrateurs, exploitants et utilisateurs</w:t>
      </w:r>
    </w:p>
    <w:p>
      <w:pPr>
        <w:jc w:val="center"/>
      </w:pPr>
      <w:r>
        <w:rPr>
          <w:rFonts w:ascii="Calibri" w:hAnsi="Calibri"/>
          <w:color w:val="5C6874"/>
          <w:sz w:val="20"/>
        </w:rPr>
        <w:t>Révision : août 2026</w:t>
      </w:r>
    </w:p>
    <w:p>
      <w:r>
        <w:br w:type="page"/>
      </w:r>
    </w:p>
    <w:p>
      <w:pPr>
        <w:pStyle w:val="Heading1"/>
      </w:pPr>
      <w:r>
        <w:t>Mode d’emploi de ce manuel</w:t>
      </w:r>
    </w:p>
    <w:p>
      <w:r>
        <w:rPr>
          <w:b/>
        </w:rPr>
        <w:t xml:space="preserve">Administrateurs et exploitants : </w:t>
      </w:r>
      <w:r>
        <w:t>commencer par la Partie I, puis appliquer la checklist de recette avant toute mise en production.</w:t>
      </w:r>
    </w:p>
    <w:p>
      <w:r>
        <w:rPr>
          <w:b/>
        </w:rPr>
        <w:t xml:space="preserve">Utilisateurs métiers : </w:t>
      </w:r>
      <w:r>
        <w:t>consulter la Partie II pour les armoires, permissions, signatures et workflows.</w:t>
      </w:r>
    </w:p>
    <w:p>
      <w:r>
        <w:rPr>
          <w:b/>
        </w:rPr>
        <w:t xml:space="preserve">Équipe IA : </w:t>
      </w:r>
      <w:r>
        <w:t>la Partie III est optionnelle et doit être déployée après validation du socle GED-SARTEX.</w:t>
      </w:r>
    </w:p>
    <w:p>
      <w:pPr>
        <w:shd w:fill="FFF3CD"/>
        <w:spacing w:before="160" w:after="160"/>
        <w:ind w:left="216" w:right="216"/>
      </w:pPr>
      <w:r>
        <w:rPr>
          <w:rFonts w:ascii="Calibri" w:hAnsi="Calibri"/>
          <w:b/>
          <w:color w:val="19374E"/>
          <w:sz w:val="21"/>
        </w:rPr>
        <w:t>Avertissement signature</w:t>
      </w:r>
      <w:r>
        <w:rPr>
          <w:rFonts w:ascii="Calibri" w:hAnsi="Calibri"/>
          <w:color w:val="19374E"/>
          <w:sz w:val="21"/>
        </w:rPr>
        <w:t xml:space="preserve"> — La fonction livrée appose une signature visuelle. Elle ne remplace pas une solution de signature électronique qualifiée ni une analyse de conformité eIDAS.</w:t>
      </w:r>
    </w:p>
    <w:p>
      <w:pPr>
        <w:pStyle w:val="Heading1"/>
      </w:pPr>
      <w:r>
        <w:t>Sommaire</w:t>
      </w:r>
    </w:p>
    <w:p>
      <w:pPr>
        <w:pStyle w:val="ListBullet"/>
      </w:pPr>
      <w:r>
        <w:t>Partie I — Installation, exploitation et transfert</w:t>
      </w:r>
    </w:p>
    <w:p>
      <w:pPr>
        <w:pStyle w:val="ListBullet"/>
      </w:pPr>
      <w:r>
        <w:t>Partie II — Guide utilisateur détaillé</w:t>
      </w:r>
    </w:p>
    <w:p>
      <w:pPr>
        <w:pStyle w:val="ListBullet"/>
      </w:pPr>
      <w:r>
        <w:t>Partie III — Intégration optionnelle des fonctions IA</w:t>
      </w:r>
    </w:p>
    <w:p>
      <w:pPr>
        <w:pStyle w:val="ListBullet"/>
      </w:pPr>
      <w:r>
        <w:t>Annexe — Fichiers de livraison et sources</w:t>
      </w:r>
    </w:p>
    <w:p>
      <w:r>
        <w:br w:type="page"/>
      </w:r>
    </w:p>
    <w:p>
      <w:pPr>
        <w:pStyle w:val="Heading1"/>
      </w:pPr>
      <w:r>
        <w:t>Partie I — Installation, exploitation et transfert</w:t>
      </w:r>
    </w:p>
    <w:p>
      <w:pPr>
        <w:pStyle w:val="Heading2"/>
      </w:pPr>
      <w:r>
        <w:t>1. Objet et périmètre</w:t>
      </w:r>
    </w:p>
    <w:p>
      <w:r>
        <w:t>GED-SARTEX est une dérivation de Paperless-ngx. Elle conserve le socle de gestion documentaire (import, OCR, recherche, tags, correspondants, types, stockage, permissions, API et tâches asynchrones) et ajoute :</w:t>
      </w:r>
    </w:p>
    <w:p>
      <w:pPr>
        <w:pStyle w:val="ListBullet"/>
      </w:pPr>
      <w:r>
        <w:t xml:space="preserve">les </w:t>
      </w:r>
      <w:r>
        <w:rPr>
          <w:b/>
        </w:rPr>
        <w:t>armoires</w:t>
      </w:r>
      <w:r>
        <w:t xml:space="preserve"> avec classement, recherche, correspondance automatique et héritage facultatif des permissions ;</w:t>
      </w:r>
    </w:p>
    <w:p>
      <w:pPr>
        <w:pStyle w:val="ListBullet"/>
      </w:pPr>
      <w:r>
        <w:t xml:space="preserve">la </w:t>
      </w:r>
      <w:r>
        <w:rPr>
          <w:b/>
        </w:rPr>
        <w:t>signature visuelle</w:t>
      </w:r>
      <w:r>
        <w:t xml:space="preserve"> avec groupe intégré de signataires, demandes ciblées, parapheur, placement de signature et copies signées distinctes des versions ordinaires ;</w:t>
      </w:r>
    </w:p>
    <w:p>
      <w:pPr>
        <w:pStyle w:val="ListBullet"/>
      </w:pPr>
      <w:r>
        <w:t xml:space="preserve">les </w:t>
      </w:r>
      <w:r>
        <w:rPr>
          <w:b/>
        </w:rPr>
        <w:t>workflows séquentiels</w:t>
      </w:r>
      <w:r>
        <w:t xml:space="preserve"> avec déclencheur initial, actions ordonnées, approbations humaines, demandes de signature, correspondance automatique, branches de rejet et suivi détaillé ;</w:t>
      </w:r>
    </w:p>
    <w:p>
      <w:pPr>
        <w:pStyle w:val="ListBullet"/>
      </w:pPr>
      <w:r>
        <w:t>les libellés français des écrans ajoutés.</w:t>
      </w:r>
    </w:p>
    <w:p>
      <w:r>
        <w:t>Cette signature est visuelle et fonctionnelle. Elle ne constitue pas, à elle seule, une signature électronique qualifiée ou un dispositif de preuve conforme à eIDAS. Toute exigence juridique doit faire l’objet d’une étude séparée.</w:t>
      </w:r>
    </w:p>
    <w:p>
      <w:pPr>
        <w:pStyle w:val="Heading2"/>
      </w:pPr>
      <w:r>
        <w:t>2. Dépôts et ressources</w:t>
      </w:r>
    </w:p>
    <w:p>
      <w:pPr>
        <w:pStyle w:val="ListBullet"/>
      </w:pPr>
      <w:r>
        <w:t>Version GED-SARTEX : https://github.com/yahyazarred/GED-SARTEX</w:t>
      </w:r>
    </w:p>
    <w:p>
      <w:pPr>
        <w:pStyle w:val="ListBullet"/>
      </w:pPr>
      <w:r>
        <w:t>Projet amont Paperless-ngx : https://github.com/paperless-ngx/paperless-ngx</w:t>
      </w:r>
    </w:p>
    <w:p>
      <w:pPr>
        <w:pStyle w:val="ListBullet"/>
      </w:pPr>
      <w:r>
        <w:t>Documentation amont : https://docs.paperless-ngx.com/</w:t>
      </w:r>
    </w:p>
    <w:p>
      <w:pPr>
        <w:pStyle w:val="ListBullet"/>
      </w:pPr>
      <w:r>
        <w:t>Stack IA de référence : https://github.com/timothystewart6/paperless-stack</w:t>
      </w:r>
    </w:p>
    <w:p>
      <w:pPr>
        <w:pStyle w:val="ListBullet"/>
      </w:pPr>
      <w:r>
        <w:t>Guide du stack IA : https://technotim.com/posts/paperless-ngx-local-ai/</w:t>
      </w:r>
    </w:p>
    <w:p>
      <w:pPr>
        <w:pStyle w:val="ListBullet"/>
      </w:pPr>
      <w:r>
        <w:t>Démonstration vidéo fournie : https://youtu.be/NMAwHjleqHg</w:t>
      </w:r>
    </w:p>
    <w:p>
      <w:r>
        <w:t>La documentation amont reste la référence pour les fonctions Paperless-ngx non modifiées. Le présent guide prévaut pour la construction et le fonctionnement des ajouts GED-SARTEX.</w:t>
      </w:r>
    </w:p>
    <w:p>
      <w:pPr>
        <w:pStyle w:val="Heading2"/>
      </w:pPr>
      <w:r>
        <w:t>3. Recommandation de déploiement</w:t>
      </w:r>
    </w:p>
    <w:p>
      <w:r>
        <w:t>Pour une recette ou une production, utiliser Docker Compose avec PostgreSQL. Cette méthode isole les dépendances, construit exactement le code livré, lance les migrations au démarrage et facilite les sauvegardes. L’exécution « normale » sans Docker doit être réservée au développement.</w:t>
      </w:r>
    </w:p>
    <w:p>
      <w:r>
        <w:t>Architecture du Compose fourni :</w:t>
      </w:r>
    </w:p>
    <w:p>
      <w:pPr>
        <w:pStyle w:val="ListBullet"/>
      </w:pPr>
      <w:r>
        <w:rPr>
          <w:rFonts w:ascii="Consolas" w:hAnsi="Consolas"/>
          <w:color w:val="19374E"/>
          <w:sz w:val="18"/>
        </w:rPr>
        <w:t>webserver</w:t>
      </w:r>
      <w:r>
        <w:t xml:space="preserve"> : image GED-SARTEX construite depuis le </w:t>
      </w:r>
      <w:r>
        <w:rPr>
          <w:rFonts w:ascii="Consolas" w:hAnsi="Consolas"/>
          <w:color w:val="19374E"/>
          <w:sz w:val="18"/>
        </w:rPr>
        <w:t>Dockerfile</w:t>
      </w:r>
      <w:r>
        <w:t xml:space="preserve"> du dépôt ;</w:t>
      </w:r>
    </w:p>
    <w:p>
      <w:pPr>
        <w:pStyle w:val="ListBullet"/>
      </w:pPr>
      <w:r>
        <w:rPr>
          <w:rFonts w:ascii="Consolas" w:hAnsi="Consolas"/>
          <w:color w:val="19374E"/>
          <w:sz w:val="18"/>
        </w:rPr>
        <w:t>db</w:t>
      </w:r>
      <w:r>
        <w:t xml:space="preserve"> : PostgreSQL 18, stockage des métadonnées, permissions, workflows, demandes et états ;</w:t>
      </w:r>
    </w:p>
    <w:p>
      <w:pPr>
        <w:pStyle w:val="ListBullet"/>
      </w:pPr>
      <w:r>
        <w:rPr>
          <w:rFonts w:ascii="Consolas" w:hAnsi="Consolas"/>
          <w:color w:val="19374E"/>
          <w:sz w:val="18"/>
        </w:rPr>
        <w:t>broker</w:t>
      </w:r>
      <w:r>
        <w:t xml:space="preserve"> : Valkey, file d’attente, cache et communication asynchrone ;</w:t>
      </w:r>
    </w:p>
    <w:p>
      <w:pPr>
        <w:pStyle w:val="ListBullet"/>
      </w:pPr>
      <w:r>
        <w:rPr>
          <w:rFonts w:ascii="Consolas" w:hAnsi="Consolas"/>
          <w:color w:val="19374E"/>
          <w:sz w:val="18"/>
        </w:rPr>
        <w:t>gotenberg</w:t>
      </w:r>
      <w:r>
        <w:t xml:space="preserve"> et </w:t>
      </w:r>
      <w:r>
        <w:rPr>
          <w:rFonts w:ascii="Consolas" w:hAnsi="Consolas"/>
          <w:color w:val="19374E"/>
          <w:sz w:val="18"/>
        </w:rPr>
        <w:t>tika</w:t>
      </w:r>
      <w:r>
        <w:t xml:space="preserve"> : conversion et extraction de documents bureautiques ;</w:t>
      </w:r>
    </w:p>
    <w:p>
      <w:pPr>
        <w:pStyle w:val="ListBullet"/>
      </w:pPr>
      <w:r>
        <w:t xml:space="preserve">volumes </w:t>
      </w:r>
      <w:r>
        <w:rPr>
          <w:rFonts w:ascii="Consolas" w:hAnsi="Consolas"/>
          <w:color w:val="19374E"/>
          <w:sz w:val="18"/>
        </w:rPr>
        <w:t>data</w:t>
      </w:r>
      <w:r>
        <w:t xml:space="preserve">, </w:t>
      </w:r>
      <w:r>
        <w:rPr>
          <w:rFonts w:ascii="Consolas" w:hAnsi="Consolas"/>
          <w:color w:val="19374E"/>
          <w:sz w:val="18"/>
        </w:rPr>
        <w:t>media</w:t>
      </w:r>
      <w:r>
        <w:t xml:space="preserve">, </w:t>
      </w:r>
      <w:r>
        <w:rPr>
          <w:rFonts w:ascii="Consolas" w:hAnsi="Consolas"/>
          <w:color w:val="19374E"/>
          <w:sz w:val="18"/>
        </w:rPr>
        <w:t>pgdata</w:t>
      </w:r>
      <w:r>
        <w:t xml:space="preserve">, </w:t>
      </w:r>
      <w:r>
        <w:rPr>
          <w:rFonts w:ascii="Consolas" w:hAnsi="Consolas"/>
          <w:color w:val="19374E"/>
          <w:sz w:val="18"/>
        </w:rPr>
        <w:t>redisdata</w:t>
      </w:r>
      <w:r>
        <w:t xml:space="preserve"> : données persistantes ;</w:t>
      </w:r>
    </w:p>
    <w:p>
      <w:pPr>
        <w:pStyle w:val="ListBullet"/>
      </w:pPr>
      <w:r>
        <w:t xml:space="preserve">répertoires </w:t>
      </w:r>
      <w:r>
        <w:rPr>
          <w:rFonts w:ascii="Consolas" w:hAnsi="Consolas"/>
          <w:color w:val="19374E"/>
          <w:sz w:val="18"/>
        </w:rPr>
        <w:t>deployment/consume</w:t>
      </w:r>
      <w:r>
        <w:t xml:space="preserve"> et </w:t>
      </w:r>
      <w:r>
        <w:rPr>
          <w:rFonts w:ascii="Consolas" w:hAnsi="Consolas"/>
          <w:color w:val="19374E"/>
          <w:sz w:val="18"/>
        </w:rPr>
        <w:t>deployment/export</w:t>
      </w:r>
      <w:r>
        <w:t xml:space="preserve"> : échanges avec l’hôte.</w:t>
      </w:r>
    </w:p>
    <w:p>
      <w:r>
        <w:t xml:space="preserve">Les signatures déposées et les PDF signés sont conservés dans le volume </w:t>
      </w:r>
      <w:r>
        <w:rPr>
          <w:rFonts w:ascii="Consolas" w:hAnsi="Consolas"/>
          <w:color w:val="19374E"/>
          <w:sz w:val="18"/>
        </w:rPr>
        <w:t>media</w:t>
      </w:r>
      <w:r>
        <w:t>. Les armoires, permissions et activités de workflow sont en base PostgreSQL. Une sauvegarde limitée à un seul de ces emplacements est donc incomplète.</w:t>
      </w:r>
    </w:p>
    <w:p>
      <w:pPr>
        <w:pStyle w:val="Heading2"/>
      </w:pPr>
      <w:r>
        <w:t>4. Prérequis Docker</w:t>
      </w:r>
    </w:p>
    <w:p>
      <w:pPr>
        <w:pStyle w:val="ListBullet"/>
      </w:pPr>
      <w:r>
        <w:t>Linux 64 bits recommandé, ou Windows/macOS avec Docker Desktop ;</w:t>
      </w:r>
    </w:p>
    <w:p>
      <w:pPr>
        <w:pStyle w:val="ListBullet"/>
      </w:pPr>
      <w:r>
        <w:t xml:space="preserve">Docker Engine récent avec le module </w:t>
      </w:r>
      <w:r>
        <w:rPr>
          <w:rFonts w:ascii="Consolas" w:hAnsi="Consolas"/>
          <w:color w:val="19374E"/>
          <w:sz w:val="18"/>
        </w:rPr>
        <w:t>docker compose</w:t>
      </w:r>
      <w:r>
        <w:t xml:space="preserve"> ;</w:t>
      </w:r>
    </w:p>
    <w:p>
      <w:pPr>
        <w:pStyle w:val="ListBullet"/>
      </w:pPr>
      <w:r>
        <w:t>Git ;</w:t>
      </w:r>
    </w:p>
    <w:p>
      <w:pPr>
        <w:pStyle w:val="ListBullet"/>
      </w:pPr>
      <w:r>
        <w:t>au moins 4 Go de RAM pour le socle, davantage selon le volume et l’OCR ;</w:t>
      </w:r>
    </w:p>
    <w:p>
      <w:pPr>
        <w:pStyle w:val="ListBullet"/>
      </w:pPr>
      <w:r>
        <w:t>espace disque dimensionné pour les originaux, archives OCR, miniatures, signatures, copies signées et sauvegardes ;</w:t>
      </w:r>
    </w:p>
    <w:p>
      <w:pPr>
        <w:pStyle w:val="ListBullet"/>
      </w:pPr>
      <w:r>
        <w:t>accès aux registres Docker, GitHub et dépôts de paquets pendant la première construction.</w:t>
      </w:r>
    </w:p>
    <w:p>
      <w:r>
        <w:t>Pour une exploitation d’entreprise, prévoir un nom DNS, TLS via un reverse proxy, une stratégie de sauvegarde hors machine et une supervision.</w:t>
      </w:r>
    </w:p>
    <w:p>
      <w:pPr>
        <w:pStyle w:val="Heading2"/>
      </w:pPr>
      <w:r>
        <w:t>5. Installation Docker Compose depuis le dépôt</w:t>
      </w:r>
    </w:p>
    <w:p>
      <w:pPr>
        <w:pStyle w:val="Heading3"/>
      </w:pPr>
      <w:r>
        <w:t>5.1 Récupérer une version immuable</w:t>
      </w:r>
    </w:p>
    <w:p>
      <w:r>
        <w:t xml:space="preserve">Éviter de déployer directement un état mouvant de </w:t>
      </w:r>
      <w:r>
        <w:rPr>
          <w:rFonts w:ascii="Consolas" w:hAnsi="Consolas"/>
          <w:color w:val="19374E"/>
          <w:sz w:val="18"/>
        </w:rPr>
        <w:t>main</w:t>
      </w:r>
      <w:r>
        <w:t>. Utiliser un tag de livraison :</w:t>
      </w:r>
    </w:p>
    <w:p>
      <w:pPr>
        <w:pStyle w:val="Code"/>
        <w:keepLines/>
        <w:shd w:fill="F4F6F8"/>
      </w:pPr>
      <w:r>
        <w:t>git clone https://github.com/yahyazarred/GED-SARTEX.git</w:t>
        <w:br/>
        <w:t>cd GED-SARTEX</w:t>
        <w:br/>
        <w:t>git fetch --tags</w:t>
        <w:br/>
        <w:t>git checkout &lt;TAG_DE_LIVRAISON&gt;</w:t>
      </w:r>
    </w:p>
    <w:p>
      <w:r>
        <w:t>Si aucun tag n’a encore été créé, noter le hash exact :</w:t>
      </w:r>
    </w:p>
    <w:p>
      <w:pPr>
        <w:pStyle w:val="Code"/>
        <w:keepLines/>
        <w:shd w:fill="F4F6F8"/>
      </w:pPr>
      <w:r>
        <w:t>git rev-parse HEAD</w:t>
      </w:r>
    </w:p>
    <w:p>
      <w:pPr>
        <w:pStyle w:val="Heading3"/>
      </w:pPr>
      <w:r>
        <w:t>5.2 Préparer les fichiers de configuration</w:t>
      </w:r>
    </w:p>
    <w:p>
      <w:pPr>
        <w:pStyle w:val="Code"/>
        <w:keepLines/>
        <w:shd w:fill="F4F6F8"/>
      </w:pPr>
      <w:r>
        <w:t>cd deployment</w:t>
        <w:br/>
        <w:t>cp .env.example .env</w:t>
        <w:br/>
        <w:t>cp paperless.env.example paperless.env</w:t>
        <w:br/>
        <w:t>mkdir -p consume export</w:t>
      </w:r>
    </w:p>
    <w:p>
      <w:r>
        <w:t>Générer les secrets sur une machine disposant de Python :</w:t>
      </w:r>
    </w:p>
    <w:p>
      <w:pPr>
        <w:pStyle w:val="Code"/>
        <w:keepLines/>
        <w:shd w:fill="F4F6F8"/>
      </w:pPr>
      <w:r>
        <w:t>python3 -c "import secrets; print(secrets.token_urlsafe(64))"</w:t>
        <w:br/>
        <w:t>python3 -c "import secrets; print(secrets.token_urlsafe(48))"</w:t>
      </w:r>
    </w:p>
    <w:p>
      <w:r>
        <w:t xml:space="preserve">Placer la première valeur dans </w:t>
      </w:r>
      <w:r>
        <w:rPr>
          <w:rFonts w:ascii="Consolas" w:hAnsi="Consolas"/>
          <w:color w:val="19374E"/>
          <w:sz w:val="18"/>
        </w:rPr>
        <w:t>PAPERLESS_SECRET_KEY</w:t>
      </w:r>
      <w:r>
        <w:t xml:space="preserve"> de </w:t>
      </w:r>
      <w:r>
        <w:rPr>
          <w:rFonts w:ascii="Consolas" w:hAnsi="Consolas"/>
          <w:color w:val="19374E"/>
          <w:sz w:val="18"/>
        </w:rPr>
        <w:t>paperless.env</w:t>
      </w:r>
      <w:r>
        <w:t xml:space="preserve"> et la seconde dans </w:t>
      </w:r>
      <w:r>
        <w:rPr>
          <w:rFonts w:ascii="Consolas" w:hAnsi="Consolas"/>
          <w:color w:val="19374E"/>
          <w:sz w:val="18"/>
        </w:rPr>
        <w:t>POSTGRES_PASSWORD</w:t>
      </w:r>
      <w:r>
        <w:t xml:space="preserve"> de </w:t>
      </w:r>
      <w:r>
        <w:rPr>
          <w:rFonts w:ascii="Consolas" w:hAnsi="Consolas"/>
          <w:color w:val="19374E"/>
          <w:sz w:val="18"/>
        </w:rPr>
        <w:t>.env</w:t>
      </w:r>
      <w:r>
        <w:t>. Ces fichiers ne doivent jamais être commités, transmis par messagerie non sécurisée ou publiés.</w:t>
      </w:r>
    </w:p>
    <w:p>
      <w:r>
        <w:t>Vérifier au minimum :</w:t>
      </w:r>
    </w:p>
    <w:p>
      <w:pPr>
        <w:pStyle w:val="ListBullet"/>
      </w:pPr>
      <w:r>
        <w:rPr>
          <w:rFonts w:ascii="Consolas" w:hAnsi="Consolas"/>
          <w:color w:val="19374E"/>
          <w:sz w:val="18"/>
        </w:rPr>
        <w:t>PAPERLESS_TIME_ZONE=Europe/Paris</w:t>
      </w:r>
      <w:r>
        <w:t xml:space="preserve"> ;</w:t>
      </w:r>
    </w:p>
    <w:p>
      <w:pPr>
        <w:pStyle w:val="ListBullet"/>
      </w:pPr>
      <w:r>
        <w:rPr>
          <w:rFonts w:ascii="Consolas" w:hAnsi="Consolas"/>
          <w:color w:val="19374E"/>
          <w:sz w:val="18"/>
        </w:rPr>
        <w:t>PAPERLESS_OCR_LANGUAGE=fra</w:t>
      </w:r>
      <w:r>
        <w:t xml:space="preserve"> si les documents sont majoritairement français ;</w:t>
      </w:r>
    </w:p>
    <w:p>
      <w:pPr>
        <w:pStyle w:val="ListBullet"/>
      </w:pPr>
      <w:r>
        <w:rPr>
          <w:rFonts w:ascii="Consolas" w:hAnsi="Consolas"/>
          <w:color w:val="19374E"/>
          <w:sz w:val="18"/>
        </w:rPr>
        <w:t>PAPERLESS_OCR_LANGUAGES=fra eng</w:t>
      </w:r>
      <w:r>
        <w:t xml:space="preserve"> si les deux langues doivent être reconnues ;</w:t>
      </w:r>
    </w:p>
    <w:p>
      <w:pPr>
        <w:pStyle w:val="ListBullet"/>
      </w:pPr>
      <w:r>
        <w:rPr>
          <w:rFonts w:ascii="Consolas" w:hAnsi="Consolas"/>
          <w:color w:val="19374E"/>
          <w:sz w:val="18"/>
        </w:rPr>
        <w:t>PAPERLESS_PORT=8000</w:t>
      </w:r>
      <w:r>
        <w:t>, ou un port hôte libre ;</w:t>
      </w:r>
    </w:p>
    <w:p>
      <w:pPr>
        <w:pStyle w:val="ListBullet"/>
      </w:pPr>
      <w:r>
        <w:rPr>
          <w:rFonts w:ascii="Consolas" w:hAnsi="Consolas"/>
          <w:color w:val="19374E"/>
          <w:sz w:val="18"/>
        </w:rPr>
        <w:t>USERMAP_UID</w:t>
      </w:r>
      <w:r>
        <w:t xml:space="preserve"> et </w:t>
      </w:r>
      <w:r>
        <w:rPr>
          <w:rFonts w:ascii="Consolas" w:hAnsi="Consolas"/>
          <w:color w:val="19374E"/>
          <w:sz w:val="18"/>
        </w:rPr>
        <w:t>USERMAP_GID</w:t>
      </w:r>
      <w:r>
        <w:t xml:space="preserve"> si les dossiers liés nécessitent un alignement de permissions Linux.</w:t>
      </w:r>
    </w:p>
    <w:p>
      <w:pPr>
        <w:pStyle w:val="Heading3"/>
      </w:pPr>
      <w:r>
        <w:t>5.3 Valider et construire</w:t>
      </w:r>
    </w:p>
    <w:p>
      <w:pPr>
        <w:pStyle w:val="Code"/>
        <w:keepLines/>
        <w:shd w:fill="F4F6F8"/>
      </w:pPr>
      <w:r>
        <w:t>docker compose config</w:t>
        <w:br/>
        <w:t>docker compose build webserver</w:t>
        <w:br/>
        <w:t>docker compose up -d</w:t>
        <w:br/>
        <w:t>docker compose ps</w:t>
      </w:r>
    </w:p>
    <w:p>
      <w:r>
        <w:t>Le premier build peut être long : il installe les dépendances frontend, compile Angular, installe les dépendances Python et prépare l’image. Les démarrages suivants réutilisent le cache.</w:t>
      </w:r>
    </w:p>
    <w:p>
      <w:r>
        <w:t>Suivre le démarrage :</w:t>
      </w:r>
    </w:p>
    <w:p>
      <w:pPr>
        <w:pStyle w:val="Code"/>
        <w:keepLines/>
        <w:shd w:fill="F4F6F8"/>
      </w:pPr>
      <w:r>
        <w:t>docker compose logs -f webserver</w:t>
      </w:r>
    </w:p>
    <w:p>
      <w:r>
        <w:t>Attendre que le service soit sain, puis créer l’administrateur :</w:t>
      </w:r>
    </w:p>
    <w:p>
      <w:pPr>
        <w:pStyle w:val="Code"/>
        <w:keepLines/>
        <w:shd w:fill="F4F6F8"/>
      </w:pPr>
      <w:r>
        <w:t>docker compose exec webserver createsuperuser</w:t>
      </w:r>
    </w:p>
    <w:p>
      <w:r>
        <w:t xml:space="preserve">Ouvrir </w:t>
      </w:r>
      <w:r>
        <w:rPr>
          <w:rFonts w:ascii="Consolas" w:hAnsi="Consolas"/>
          <w:color w:val="19374E"/>
          <w:sz w:val="18"/>
        </w:rPr>
        <w:t>http://&lt;serveur&gt;:8000</w:t>
      </w:r>
      <w:r>
        <w:t>.</w:t>
      </w:r>
    </w:p>
    <w:p>
      <w:pPr>
        <w:pStyle w:val="Heading3"/>
      </w:pPr>
      <w:r>
        <w:t>5.4 Contrôles de recette immédiats</w:t>
      </w:r>
    </w:p>
    <w:p>
      <w:r>
        <w:t>Après la première connexion :</w:t>
      </w:r>
    </w:p>
    <w:p>
      <w:pPr>
        <w:pStyle w:val="ListNumber"/>
      </w:pPr>
      <w:r>
        <w:t xml:space="preserve">vérifier la présence de </w:t>
      </w:r>
      <w:r>
        <w:rPr>
          <w:b/>
        </w:rPr>
        <w:t>Documents</w:t>
      </w:r>
      <w:r>
        <w:t xml:space="preserve">, </w:t>
      </w:r>
      <w:r>
        <w:rPr>
          <w:b/>
        </w:rPr>
        <w:t>Armoires</w:t>
      </w:r>
      <w:r>
        <w:t xml:space="preserve">, </w:t>
      </w:r>
      <w:r>
        <w:rPr>
          <w:b/>
        </w:rPr>
        <w:t>Demandes de signature/Parapheur</w:t>
      </w:r>
      <w:r>
        <w:t xml:space="preserve">, </w:t>
      </w:r>
      <w:r>
        <w:rPr>
          <w:b/>
        </w:rPr>
        <w:t>Approbation</w:t>
      </w:r>
      <w:r>
        <w:t xml:space="preserve">, </w:t>
      </w:r>
      <w:r>
        <w:rPr>
          <w:b/>
        </w:rPr>
        <w:t>Workflows</w:t>
      </w:r>
      <w:r>
        <w:t xml:space="preserve"> et </w:t>
      </w:r>
      <w:r>
        <w:rPr>
          <w:b/>
        </w:rPr>
        <w:t>Activité des workflows</w:t>
      </w:r>
      <w:r>
        <w:t xml:space="preserve"> selon les permissions du compte ;</w:t>
      </w:r>
    </w:p>
    <w:p>
      <w:pPr>
        <w:pStyle w:val="ListNumber"/>
      </w:pPr>
      <w:r>
        <w:t>créer une armoire de test et lui affecter un document ;</w:t>
      </w:r>
    </w:p>
    <w:p>
      <w:pPr>
        <w:pStyle w:val="ListNumber"/>
      </w:pPr>
      <w:r>
        <w:t>créer un utilisateur signataire, l’ajouter au groupe intégré des signataires et lui accorder la consultation du document ;</w:t>
      </w:r>
    </w:p>
    <w:p>
      <w:pPr>
        <w:pStyle w:val="ListNumber"/>
      </w:pPr>
      <w:r>
        <w:t>déposer une signature, demander une signature et produire une copie signée ;</w:t>
      </w:r>
    </w:p>
    <w:p>
      <w:pPr>
        <w:pStyle w:val="ListNumber"/>
      </w:pPr>
      <w:r>
        <w:t>créer un workflow simple « document ajouté → affectation d’un tag » ;</w:t>
      </w:r>
    </w:p>
    <w:p>
      <w:pPr>
        <w:pStyle w:val="ListNumber"/>
      </w:pPr>
      <w:r>
        <w:t>créer un workflow avec approbation, puis vérifier son activité ;</w:t>
      </w:r>
    </w:p>
    <w:p>
      <w:pPr>
        <w:pStyle w:val="ListNumber"/>
      </w:pPr>
      <w:r>
        <w:t>passer l’interface en français et recharger la page ;</w:t>
      </w:r>
    </w:p>
    <w:p>
      <w:pPr>
        <w:pStyle w:val="ListNumber"/>
      </w:pPr>
      <w:r>
        <w:t>vérifier l’import OCR d’un PDF et, si nécessaire, d’un fichier Office.</w:t>
      </w:r>
    </w:p>
    <w:p>
      <w:r>
        <w:t>Ne pas accepter la recette si les migrations échouent, si les tâches restent indéfiniment en attente ou si les permissions exposent un document/copie signée à un utilisateur non autorisé.</w:t>
      </w:r>
    </w:p>
    <w:p>
      <w:pPr>
        <w:pStyle w:val="Heading2"/>
      </w:pPr>
      <w:r>
        <w:t>6. Publication d’une image réutilisable</w:t>
      </w:r>
    </w:p>
    <w:p>
      <w:r>
        <w:t>Construire sur chaque serveur fonctionne, mais publier une image versionnée rend la livraison reproductible :</w:t>
      </w:r>
    </w:p>
    <w:p>
      <w:pPr>
        <w:pStyle w:val="Code"/>
        <w:keepLines/>
        <w:shd w:fill="F4F6F8"/>
      </w:pPr>
      <w:r>
        <w:t>docker build -t ghcr.io/&lt;organisation&gt;/ged-sartex:1.0.0 .</w:t>
        <w:br/>
        <w:t>docker push ghcr.io/&lt;organisation&gt;/ged-sartex:1.0.0</w:t>
      </w:r>
    </w:p>
    <w:p>
      <w:r>
        <w:t xml:space="preserve">Dans </w:t>
      </w:r>
      <w:r>
        <w:rPr>
          <w:rFonts w:ascii="Consolas" w:hAnsi="Consolas"/>
          <w:color w:val="19374E"/>
          <w:sz w:val="18"/>
        </w:rPr>
        <w:t>deployment/.env</w:t>
      </w:r>
      <w:r>
        <w:t xml:space="preserve"> :</w:t>
      </w:r>
    </w:p>
    <w:p>
      <w:pPr>
        <w:pStyle w:val="Code"/>
        <w:keepLines/>
        <w:shd w:fill="F4F6F8"/>
      </w:pPr>
      <w:r>
        <w:t>GED_SARTEX_IMAGE=ghcr.io/&lt;organisation&gt;/ged-sartex:1.0.0</w:t>
      </w:r>
    </w:p>
    <w:p>
      <w:r>
        <w:t xml:space="preserve">Le bloc </w:t>
      </w:r>
      <w:r>
        <w:rPr>
          <w:rFonts w:ascii="Consolas" w:hAnsi="Consolas"/>
          <w:color w:val="19374E"/>
          <w:sz w:val="18"/>
        </w:rPr>
        <w:t>build</w:t>
      </w:r>
      <w:r>
        <w:t xml:space="preserve"> peut rester présent : </w:t>
      </w:r>
      <w:r>
        <w:rPr>
          <w:rFonts w:ascii="Consolas" w:hAnsi="Consolas"/>
          <w:color w:val="19374E"/>
          <w:sz w:val="18"/>
        </w:rPr>
        <w:t>docker compose up</w:t>
      </w:r>
      <w:r>
        <w:t xml:space="preserve"> utilisera l’image locale si elle existe, tandis que </w:t>
      </w:r>
      <w:r>
        <w:rPr>
          <w:rFonts w:ascii="Consolas" w:hAnsi="Consolas"/>
          <w:color w:val="19374E"/>
          <w:sz w:val="18"/>
        </w:rPr>
        <w:t>docker compose build</w:t>
      </w:r>
      <w:r>
        <w:t xml:space="preserve"> permet une reconstruction. Pour une exploitation strictement contrôlée, créer un Compose de production ne contenant que </w:t>
      </w:r>
      <w:r>
        <w:rPr>
          <w:rFonts w:ascii="Consolas" w:hAnsi="Consolas"/>
          <w:color w:val="19374E"/>
          <w:sz w:val="18"/>
        </w:rPr>
        <w:t>image:</w:t>
      </w:r>
      <w:r>
        <w:t xml:space="preserve"> avec un tag immuable ou un digest SHA256.</w:t>
      </w:r>
    </w:p>
    <w:p>
      <w:pPr>
        <w:pStyle w:val="Heading2"/>
      </w:pPr>
      <w:r>
        <w:t>7. Configuration d’un domaine et de HTTPS</w:t>
      </w:r>
    </w:p>
    <w:p>
      <w:r>
        <w:t xml:space="preserve">Ne pas exposer directement le port 8000 sur Internet. Placer l’application derrière Caddy, Traefik ou Nginx avec un certificat TLS. Configurer dans </w:t>
      </w:r>
      <w:r>
        <w:rPr>
          <w:rFonts w:ascii="Consolas" w:hAnsi="Consolas"/>
          <w:color w:val="19374E"/>
          <w:sz w:val="18"/>
        </w:rPr>
        <w:t>paperless.env</w:t>
      </w:r>
      <w:r>
        <w:t xml:space="preserve"> :</w:t>
      </w:r>
    </w:p>
    <w:p>
      <w:pPr>
        <w:pStyle w:val="Code"/>
        <w:keepLines/>
        <w:shd w:fill="F4F6F8"/>
      </w:pPr>
      <w:r>
        <w:t>PAPERLESS_URL=https://ged.example.com</w:t>
        <w:br/>
        <w:t>PAPERLESS_ALLOWED_HOSTS=ged.example.com</w:t>
        <w:br/>
        <w:t>PAPERLESS_CSRF_TRUSTED_ORIGINS=https://ged.example.com</w:t>
      </w:r>
    </w:p>
    <w:p>
      <w:r>
        <w:t>Limiter le port à l’interface locale si le reverse proxy est sur la même machine. Protéger les interfaces administratives et IA par VPN ou contrôle d’accès. Vérifier que le proxy transmet les en-têtes usuels et autorise les WebSockets ; ceux-ci alimentent notamment les mises à jour d’état en temps réel.</w:t>
      </w:r>
    </w:p>
    <w:p>
      <w:pPr>
        <w:pStyle w:val="Heading2"/>
      </w:pPr>
      <w:r>
        <w:t>8. Exécution en environnement de développement</w:t>
      </w:r>
    </w:p>
    <w:p>
      <w:pPr>
        <w:pStyle w:val="Heading3"/>
      </w:pPr>
      <w:r>
        <w:t>8.1 Dev Container recommandé</w:t>
      </w:r>
    </w:p>
    <w:p>
      <w:r>
        <w:t xml:space="preserve">Prérequis : VS Code, extension </w:t>
      </w:r>
      <w:r>
        <w:rPr>
          <w:b/>
        </w:rPr>
        <w:t>Dev Containers</w:t>
      </w:r>
      <w:r>
        <w:t>, Docker Desktop/Engine.</w:t>
      </w:r>
    </w:p>
    <w:p>
      <w:pPr>
        <w:pStyle w:val="ListNumber"/>
      </w:pPr>
      <w:r>
        <w:t xml:space="preserve">ouvrir la racine </w:t>
      </w:r>
      <w:r>
        <w:rPr>
          <w:rFonts w:ascii="Consolas" w:hAnsi="Consolas"/>
          <w:color w:val="19374E"/>
          <w:sz w:val="18"/>
        </w:rPr>
        <w:t>GED-SARTEX</w:t>
      </w:r>
      <w:r>
        <w:t xml:space="preserve"> dans VS Code ;</w:t>
      </w:r>
    </w:p>
    <w:p>
      <w:pPr>
        <w:pStyle w:val="ListNumber"/>
      </w:pPr>
      <w:r>
        <w:t xml:space="preserve">exécuter </w:t>
      </w:r>
      <w:r>
        <w:rPr>
          <w:b/>
        </w:rPr>
        <w:t>Dev Containers: Reopen in Container</w:t>
      </w:r>
      <w:r>
        <w:t xml:space="preserve"> ;</w:t>
      </w:r>
    </w:p>
    <w:p>
      <w:pPr>
        <w:pStyle w:val="ListNumber"/>
      </w:pPr>
      <w:r>
        <w:t xml:space="preserve">utiliser la configuration déjà présente dans </w:t>
      </w:r>
      <w:r>
        <w:rPr>
          <w:rFonts w:ascii="Consolas" w:hAnsi="Consolas"/>
          <w:color w:val="19374E"/>
          <w:sz w:val="18"/>
        </w:rPr>
        <w:t>.devcontainer</w:t>
      </w:r>
      <w:r>
        <w:t xml:space="preserve"> — ne pas créer un nouveau modèle Alpine/Anaconda ;</w:t>
      </w:r>
    </w:p>
    <w:p>
      <w:pPr>
        <w:pStyle w:val="ListNumber"/>
      </w:pPr>
      <w:r>
        <w:t xml:space="preserve">attendre </w:t>
      </w:r>
      <w:r>
        <w:rPr>
          <w:rFonts w:ascii="Consolas" w:hAnsi="Consolas"/>
          <w:color w:val="19374E"/>
          <w:sz w:val="18"/>
        </w:rPr>
        <w:t>uv sync --python 3.13 --group dev</w:t>
      </w:r>
      <w:r>
        <w:t xml:space="preserve"> ;</w:t>
      </w:r>
    </w:p>
    <w:p>
      <w:pPr>
        <w:pStyle w:val="ListNumber"/>
      </w:pPr>
      <w:r>
        <w:t>dans le terminal du conteneur :</w:t>
      </w:r>
    </w:p>
    <w:p>
      <w:pPr>
        <w:pStyle w:val="Code"/>
        <w:keepLines/>
        <w:shd w:fill="F4F6F8"/>
      </w:pPr>
      <w:r>
        <w:t>cd /usr/src/paperless/paperless-ngx</w:t>
        <w:br/>
        <w:t>export PAPERLESS_SECRET_KEY="${PAPERLESS_SECRET_KEY:-$(uv run python -c 'import secrets; print(secrets.token_urlsafe(64))')}"</w:t>
        <w:br/>
        <w:t>uv run python src/manage.py migrate</w:t>
      </w:r>
    </w:p>
    <w:p>
      <w:r>
        <w:t>Compiler le frontend servi sur le port 8000 :</w:t>
      </w:r>
    </w:p>
    <w:p>
      <w:pPr>
        <w:pStyle w:val="Code"/>
        <w:keepLines/>
        <w:shd w:fill="F4F6F8"/>
      </w:pPr>
      <w:r>
        <w:t>cd src-ui</w:t>
        <w:br/>
        <w:t>pnpm install</w:t>
        <w:br/>
        <w:t>pnpm exec ng build --configuration production --localize</w:t>
        <w:br/>
        <w:t>cd ..</w:t>
      </w:r>
    </w:p>
    <w:p>
      <w:r>
        <w:t>Lancer l’ASGI et le worker dans deux terminaux :</w:t>
      </w:r>
    </w:p>
    <w:p>
      <w:pPr>
        <w:pStyle w:val="Code"/>
        <w:keepLines/>
        <w:shd w:fill="F4F6F8"/>
      </w:pPr>
      <w:r>
        <w:t>uv run daphne -b 0.0.0.0 -p 8000 paperless.asgi:application</w:t>
      </w:r>
    </w:p>
    <w:p>
      <w:pPr>
        <w:pStyle w:val="Code"/>
        <w:keepLines/>
        <w:shd w:fill="F4F6F8"/>
      </w:pPr>
      <w:r>
        <w:t>uv run celery --app paperless worker -l INFO</w:t>
      </w:r>
    </w:p>
    <w:p>
      <w:r>
        <w:t xml:space="preserve">Le service Redis, Tika et Gotenberg provient du Compose du Dev Container. Daphne est préférable au simple </w:t>
      </w:r>
      <w:r>
        <w:rPr>
          <w:rFonts w:ascii="Consolas" w:hAnsi="Consolas"/>
          <w:color w:val="19374E"/>
          <w:sz w:val="18"/>
        </w:rPr>
        <w:t>runserver</w:t>
      </w:r>
      <w:r>
        <w:t xml:space="preserve"> pour vérifier le comportement WebSocket. Ouvrir </w:t>
      </w:r>
      <w:r>
        <w:rPr>
          <w:rFonts w:ascii="Consolas" w:hAnsi="Consolas"/>
          <w:color w:val="19374E"/>
          <w:sz w:val="18"/>
        </w:rPr>
        <w:t>http://localhost:8000</w:t>
      </w:r>
      <w:r>
        <w:t>.</w:t>
      </w:r>
    </w:p>
    <w:p>
      <w:r>
        <w:t xml:space="preserve">En cas d’erreur du paquet Autobahn sous Python 3.14, rester sur Python 3.13 comme la configuration fournie et conserver </w:t>
      </w:r>
      <w:r>
        <w:rPr>
          <w:rFonts w:ascii="Consolas" w:hAnsi="Consolas"/>
          <w:color w:val="19374E"/>
          <w:sz w:val="18"/>
        </w:rPr>
        <w:t>UV_NO_BINARY_PACKAGE=autobahn</w:t>
      </w:r>
      <w:r>
        <w:t>.</w:t>
      </w:r>
    </w:p>
    <w:p>
      <w:pPr>
        <w:pStyle w:val="Heading3"/>
      </w:pPr>
      <w:r>
        <w:t>8.2 Exécution native sans Docker</w:t>
      </w:r>
    </w:p>
    <w:p>
      <w:r>
        <w:t xml:space="preserve">Cette voie est destinée au développement avancé et demande Python 3.13, </w:t>
      </w:r>
      <w:r>
        <w:rPr>
          <w:rFonts w:ascii="Consolas" w:hAnsi="Consolas"/>
          <w:color w:val="19374E"/>
          <w:sz w:val="18"/>
        </w:rPr>
        <w:t>uv</w:t>
      </w:r>
      <w:r>
        <w:t>, Node.js 24, Corepack/pnpm, Redis, Tesseract, Poppler et les bibliothèques système attendues par Paperless-ngx. PostgreSQL est recommandé pour se rapprocher de la production.</w:t>
      </w:r>
    </w:p>
    <w:p>
      <w:pPr>
        <w:pStyle w:val="Code"/>
        <w:keepLines/>
        <w:shd w:fill="F4F6F8"/>
      </w:pPr>
      <w:r>
        <w:t>uv sync --python 3.13 --group dev</w:t>
        <w:br/>
        <w:t>cd src-ui</w:t>
        <w:br/>
        <w:t>corepack enable</w:t>
        <w:br/>
        <w:t>pnpm install</w:t>
        <w:br/>
        <w:t>pnpm exec ng build --configuration production --localize</w:t>
        <w:br/>
        <w:t>cd ..</w:t>
        <w:br/>
        <w:t>export PAPERLESS_SECRET_KEY="$(uv run python -c 'import secrets; print(secrets.token_urlsafe(64))')"</w:t>
        <w:br/>
        <w:t>export PAPERLESS_REDIS=redis://localhost:6379</w:t>
        <w:br/>
        <w:t>uv run python src/manage.py migrate</w:t>
        <w:br/>
        <w:t>uv run daphne -b 0.0.0.0 -p 8000 paperless.asgi:application</w:t>
      </w:r>
    </w:p>
    <w:p>
      <w:r>
        <w:t>Dans un second terminal, avec les mêmes variables :</w:t>
      </w:r>
    </w:p>
    <w:p>
      <w:pPr>
        <w:pStyle w:val="Code"/>
        <w:keepLines/>
        <w:shd w:fill="F4F6F8"/>
      </w:pPr>
      <w:r>
        <w:t>uv run celery --app paperless worker -l INFO</w:t>
      </w:r>
    </w:p>
    <w:p>
      <w:r>
        <w:t>Les chemins et paquets système varient selon la distribution. En production, utiliser l’image Docker livrée plutôt que de reproduire manuellement son environnement.</w:t>
      </w:r>
    </w:p>
    <w:p>
      <w:pPr>
        <w:pStyle w:val="Heading2"/>
      </w:pPr>
      <w:r>
        <w:t>9. Base de données et migrations</w:t>
      </w:r>
    </w:p>
    <w:p>
      <w:r>
        <w:t xml:space="preserve">Les migrations GED-SARTEX font partie du dépôt et sont appliquées automatiquement au démarrage de l’image. Ne pas lancer </w:t>
      </w:r>
      <w:r>
        <w:rPr>
          <w:rFonts w:ascii="Consolas" w:hAnsi="Consolas"/>
          <w:color w:val="19374E"/>
          <w:sz w:val="18"/>
        </w:rPr>
        <w:t>makemigrations</w:t>
      </w:r>
      <w:r>
        <w:t xml:space="preserve"> en production. Avant une mise à jour :</w:t>
      </w:r>
    </w:p>
    <w:p>
      <w:pPr>
        <w:pStyle w:val="Code"/>
        <w:keepLines/>
        <w:shd w:fill="F4F6F8"/>
      </w:pPr>
      <w:r>
        <w:t>docker compose exec webserver python manage.py showmigrations documents paperless</w:t>
      </w:r>
    </w:p>
    <w:p>
      <w:r>
        <w:t>Après déploiement :</w:t>
      </w:r>
    </w:p>
    <w:p>
      <w:pPr>
        <w:pStyle w:val="Code"/>
        <w:keepLines/>
        <w:shd w:fill="F4F6F8"/>
      </w:pPr>
      <w:r>
        <w:t>docker compose exec webserver python manage.py migrate --check</w:t>
      </w:r>
    </w:p>
    <w:p>
      <w:r>
        <w:t>Ne jamais modifier manuellement les tables d’armoires, signatures ou workflows. Toute évolution du schéma doit être réalisée par une migration Django testée sur une copie de la base.</w:t>
      </w:r>
    </w:p>
    <w:p>
      <w:r>
        <w:t>Pour intégrer ultérieurement de nouvelles versions de Paperless-ngx, créer une branche, fusionner l’amont, résoudre les conflits, exécuter les migrations et la suite de tests, puis construire une nouvelle image. Ne jamais remplacer uniquement des fichiers Python dans un conteneur déjà en production.</w:t>
      </w:r>
    </w:p>
    <w:p>
      <w:pPr>
        <w:pStyle w:val="Heading2"/>
      </w:pPr>
      <w:r>
        <w:t>10. Sauvegarde et restauration</w:t>
      </w:r>
    </w:p>
    <w:p>
      <w:pPr>
        <w:pStyle w:val="Heading3"/>
      </w:pPr>
      <w:r>
        <w:t>10.1 Ce qu’il faut sauvegarder</w:t>
      </w:r>
    </w:p>
    <w:p>
      <w:pPr>
        <w:pStyle w:val="ListBullet"/>
      </w:pPr>
      <w:r>
        <w:t>base PostgreSQL : documents, utilisateurs, permissions, armoires, demandes, états et historique des workflows ;</w:t>
      </w:r>
    </w:p>
    <w:p>
      <w:pPr>
        <w:pStyle w:val="ListBullet"/>
      </w:pPr>
      <w:r>
        <w:t xml:space="preserve">volume </w:t>
      </w:r>
      <w:r>
        <w:rPr>
          <w:rFonts w:ascii="Consolas" w:hAnsi="Consolas"/>
          <w:color w:val="19374E"/>
          <w:sz w:val="18"/>
        </w:rPr>
        <w:t>media</w:t>
      </w:r>
      <w:r>
        <w:t xml:space="preserve"> : originaux, archives, miniatures, signatures et copies signées ;</w:t>
      </w:r>
    </w:p>
    <w:p>
      <w:pPr>
        <w:pStyle w:val="ListBullet"/>
      </w:pPr>
      <w:r>
        <w:t xml:space="preserve">volume </w:t>
      </w:r>
      <w:r>
        <w:rPr>
          <w:rFonts w:ascii="Consolas" w:hAnsi="Consolas"/>
          <w:color w:val="19374E"/>
          <w:sz w:val="18"/>
        </w:rPr>
        <w:t>data</w:t>
      </w:r>
      <w:r>
        <w:t xml:space="preserve"> : index et données applicatives ;</w:t>
      </w:r>
    </w:p>
    <w:p>
      <w:pPr>
        <w:pStyle w:val="ListBullet"/>
      </w:pPr>
      <w:r>
        <w:t xml:space="preserve">dossiers </w:t>
      </w:r>
      <w:r>
        <w:rPr>
          <w:rFonts w:ascii="Consolas" w:hAnsi="Consolas"/>
          <w:color w:val="19374E"/>
          <w:sz w:val="18"/>
        </w:rPr>
        <w:t>consume</w:t>
      </w:r>
      <w:r>
        <w:t xml:space="preserve"> et </w:t>
      </w:r>
      <w:r>
        <w:rPr>
          <w:rFonts w:ascii="Consolas" w:hAnsi="Consolas"/>
          <w:color w:val="19374E"/>
          <w:sz w:val="18"/>
        </w:rPr>
        <w:t>export</w:t>
      </w:r>
      <w:r>
        <w:t xml:space="preserve"> selon les besoins ;</w:t>
      </w:r>
    </w:p>
    <w:p>
      <w:pPr>
        <w:pStyle w:val="ListBullet"/>
      </w:pPr>
      <w:r>
        <w:rPr>
          <w:rFonts w:ascii="Consolas" w:hAnsi="Consolas"/>
          <w:color w:val="19374E"/>
          <w:sz w:val="18"/>
        </w:rPr>
        <w:t>.env</w:t>
      </w:r>
      <w:r>
        <w:t xml:space="preserve"> et </w:t>
      </w:r>
      <w:r>
        <w:rPr>
          <w:rFonts w:ascii="Consolas" w:hAnsi="Consolas"/>
          <w:color w:val="19374E"/>
          <w:sz w:val="18"/>
        </w:rPr>
        <w:t>paperless.env</w:t>
      </w:r>
      <w:r>
        <w:t xml:space="preserve"> dans un coffre de secrets, séparément des sauvegardes ordinaires.</w:t>
      </w:r>
    </w:p>
    <w:p>
      <w:r>
        <w:t>Une sauvegarde cohérente doit associer la base et les fichiers du même instant. Utiliser l’exporteur Paperless-ngx pour une sauvegarde logique portable et conserver en plus des sauvegardes de volumes/base.</w:t>
      </w:r>
    </w:p>
    <w:p>
      <w:r>
        <w:t>Exemple d’export applicatif :</w:t>
      </w:r>
    </w:p>
    <w:p>
      <w:pPr>
        <w:pStyle w:val="Code"/>
        <w:keepLines/>
        <w:shd w:fill="F4F6F8"/>
      </w:pPr>
      <w:r>
        <w:t>docker compose exec -T webserver document_exporter ../export</w:t>
      </w:r>
    </w:p>
    <w:p>
      <w:r>
        <w:t>Tester régulièrement une restauration sur une instance isolée. Un fichier de sauvegarde jamais restauré ne constitue pas une preuve de reprise.</w:t>
      </w:r>
    </w:p>
    <w:p>
      <w:pPr>
        <w:pStyle w:val="Heading3"/>
      </w:pPr>
      <w:r>
        <w:t>10.2 Restauration</w:t>
      </w:r>
    </w:p>
    <w:p>
      <w:pPr>
        <w:pStyle w:val="ListNumber"/>
      </w:pPr>
      <w:r>
        <w:t>arrêter l’écriture et relever le tag d’image utilisé ;</w:t>
      </w:r>
    </w:p>
    <w:p>
      <w:pPr>
        <w:pStyle w:val="ListNumber"/>
      </w:pPr>
      <w:r>
        <w:t>restaurer PostgreSQL et les volumes à partir du même point de sauvegarde ;</w:t>
      </w:r>
    </w:p>
    <w:p>
      <w:pPr>
        <w:pStyle w:val="ListNumber"/>
      </w:pPr>
      <w:r>
        <w:t xml:space="preserve">replacer les secrets d’origine, particulièrement </w:t>
      </w:r>
      <w:r>
        <w:rPr>
          <w:rFonts w:ascii="Consolas" w:hAnsi="Consolas"/>
          <w:color w:val="19374E"/>
          <w:sz w:val="18"/>
        </w:rPr>
        <w:t>PAPERLESS_SECRET_KEY</w:t>
      </w:r>
      <w:r>
        <w:t xml:space="preserve"> ;</w:t>
      </w:r>
    </w:p>
    <w:p>
      <w:pPr>
        <w:pStyle w:val="ListNumber"/>
      </w:pPr>
      <w:r>
        <w:t>redémarrer avec la même image ;</w:t>
      </w:r>
    </w:p>
    <w:p>
      <w:pPr>
        <w:pStyle w:val="ListNumber"/>
      </w:pPr>
      <w:r>
        <w:t>exécuter les contrôles de cohérence et la recette fonctionnelle ;</w:t>
      </w:r>
    </w:p>
    <w:p>
      <w:pPr>
        <w:pStyle w:val="ListNumber"/>
      </w:pPr>
      <w:r>
        <w:t>seulement ensuite effectuer une mise à niveau.</w:t>
      </w:r>
    </w:p>
    <w:p>
      <w:r>
        <w:t xml:space="preserve">Changer </w:t>
      </w:r>
      <w:r>
        <w:rPr>
          <w:rFonts w:ascii="Consolas" w:hAnsi="Consolas"/>
          <w:color w:val="19374E"/>
          <w:sz w:val="18"/>
        </w:rPr>
        <w:t>PAPERLESS_SECRET_KEY</w:t>
      </w:r>
      <w:r>
        <w:t xml:space="preserve"> invalide des sessions et jetons signés. Le conserver comme un secret durable et sauvegardé.</w:t>
      </w:r>
    </w:p>
    <w:p>
      <w:pPr>
        <w:pStyle w:val="Heading2"/>
      </w:pPr>
      <w:r>
        <w:t>11. Mise à jour et retour arrière</w:t>
      </w:r>
    </w:p>
    <w:p>
      <w:pPr>
        <w:pStyle w:val="Heading3"/>
      </w:pPr>
      <w:r>
        <w:t>Mise à jour</w:t>
      </w:r>
    </w:p>
    <w:p>
      <w:pPr>
        <w:pStyle w:val="Code"/>
        <w:keepLines/>
        <w:shd w:fill="F4F6F8"/>
      </w:pPr>
      <w:r>
        <w:t>git fetch --tags</w:t>
        <w:br/>
        <w:t>git checkout &lt;NOUVEAU_TAG&gt;</w:t>
        <w:br/>
        <w:t>cd deployment</w:t>
        <w:br/>
        <w:t>docker compose build --pull webserver</w:t>
        <w:br/>
        <w:t>docker compose up -d</w:t>
        <w:br/>
        <w:t>docker compose logs -f webserver</w:t>
      </w:r>
    </w:p>
    <w:p>
      <w:r>
        <w:t>Faire la sauvegarde avant la construction. Examiner les migrations et notes de version. Tester sur une copie de données avant la production.</w:t>
      </w:r>
    </w:p>
    <w:p>
      <w:pPr>
        <w:pStyle w:val="Heading3"/>
      </w:pPr>
      <w:r>
        <w:t>Retour arrière</w:t>
      </w:r>
    </w:p>
    <w:p>
      <w:r>
        <w:t>Un retour de code ne suffit pas si des migrations ont modifié la base. La procédure sûre consiste à restaurer ensemble la base et les volumes sauvegardés avant la mise à jour, puis à relancer l’ancien tag d’image.</w:t>
      </w:r>
    </w:p>
    <w:p>
      <w:pPr>
        <w:pStyle w:val="Heading2"/>
      </w:pPr>
      <w:r>
        <w:t>12. Supervision et commandes d’exploitation</w:t>
      </w:r>
    </w:p>
    <w:p>
      <w:pPr>
        <w:pStyle w:val="Code"/>
        <w:keepLines/>
        <w:shd w:fill="F4F6F8"/>
      </w:pPr>
      <w:r>
        <w:t>docker compose ps</w:t>
        <w:br/>
        <w:t>docker compose logs --tail=200 webserver</w:t>
        <w:br/>
        <w:t>docker compose logs --tail=200 db broker</w:t>
        <w:br/>
        <w:t>docker compose restart webserver</w:t>
        <w:br/>
        <w:t>docker compose exec webserver python manage.py check</w:t>
      </w:r>
    </w:p>
    <w:p>
      <w:r>
        <w:t xml:space="preserve">Surveiller : espace disque, santé PostgreSQL/Valkey, croissance de </w:t>
      </w:r>
      <w:r>
        <w:rPr>
          <w:rFonts w:ascii="Consolas" w:hAnsi="Consolas"/>
          <w:color w:val="19374E"/>
          <w:sz w:val="18"/>
        </w:rPr>
        <w:t>media</w:t>
      </w:r>
      <w:r>
        <w:t>, échecs OCR, file Celery, erreurs de migration, réponses HTTP 4xx/5xx, workflows échoués et demandes de signature en échec.</w:t>
      </w:r>
    </w:p>
    <w:p>
      <w:pPr>
        <w:pStyle w:val="Heading2"/>
      </w:pPr>
      <w:r>
        <w:t>13. Dépannage ciblé</w:t>
      </w:r>
    </w:p>
    <w:p>
      <w:pPr>
        <w:pStyle w:val="Heading3"/>
      </w:pPr>
      <w:r>
        <w:t>L’application refuse de démarrer avec `PAPERLESS_SECRET_KEY`</w:t>
      </w:r>
    </w:p>
    <w:p>
      <w:r>
        <w:t xml:space="preserve">La valeur est absente ou restée à </w:t>
      </w:r>
      <w:r>
        <w:rPr>
          <w:rFonts w:ascii="Consolas" w:hAnsi="Consolas"/>
          <w:color w:val="19374E"/>
          <w:sz w:val="18"/>
        </w:rPr>
        <w:t>change-me</w:t>
      </w:r>
      <w:r>
        <w:t xml:space="preserve">. Générer un secret, le placer dans </w:t>
      </w:r>
      <w:r>
        <w:rPr>
          <w:rFonts w:ascii="Consolas" w:hAnsi="Consolas"/>
          <w:color w:val="19374E"/>
          <w:sz w:val="18"/>
        </w:rPr>
        <w:t>paperless.env</w:t>
      </w:r>
      <w:r>
        <w:t>, puis recréer le service :</w:t>
      </w:r>
    </w:p>
    <w:p>
      <w:pPr>
        <w:pStyle w:val="Code"/>
        <w:keepLines/>
        <w:shd w:fill="F4F6F8"/>
      </w:pPr>
      <w:r>
        <w:t>docker compose up -d --force-recreate webserver</w:t>
      </w:r>
    </w:p>
    <w:p>
      <w:pPr>
        <w:pStyle w:val="Heading3"/>
      </w:pPr>
      <w:r>
        <w:t>Le frontend ne montre pas les nouveautés</w:t>
      </w:r>
    </w:p>
    <w:p>
      <w:r>
        <w:t>L’image ou les fichiers statiques ne correspondent pas au code :</w:t>
      </w:r>
    </w:p>
    <w:p>
      <w:pPr>
        <w:pStyle w:val="Code"/>
        <w:keepLines/>
        <w:shd w:fill="F4F6F8"/>
      </w:pPr>
      <w:r>
        <w:t>docker compose build --no-cache webserver</w:t>
        <w:br/>
        <w:t>docker compose up -d --force-recreate webserver</w:t>
      </w:r>
    </w:p>
    <w:p>
      <w:r>
        <w:t xml:space="preserve">Puis effectuer un rechargement complet du navigateur. En développement, reconstruire Angular avec </w:t>
      </w:r>
      <w:r>
        <w:rPr>
          <w:rFonts w:ascii="Consolas" w:hAnsi="Consolas"/>
          <w:color w:val="19374E"/>
          <w:sz w:val="18"/>
        </w:rPr>
        <w:t>--localize</w:t>
      </w:r>
      <w:r>
        <w:t>.</w:t>
      </w:r>
    </w:p>
    <w:p>
      <w:pPr>
        <w:pStyle w:val="Heading3"/>
      </w:pPr>
      <w:r>
        <w:t>« Upload complete, waiting… » ne disparaît pas</w:t>
      </w:r>
    </w:p>
    <w:p>
      <w:r>
        <w:t>Vérifier le worker, Redis et Daphne/WebSocket :</w:t>
      </w:r>
    </w:p>
    <w:p>
      <w:pPr>
        <w:pStyle w:val="Code"/>
        <w:keepLines/>
        <w:shd w:fill="F4F6F8"/>
      </w:pPr>
      <w:r>
        <w:t>docker compose logs webserver</w:t>
        <w:br/>
        <w:t>docker compose logs broker</w:t>
      </w:r>
    </w:p>
    <w:p>
      <w:r>
        <w:t xml:space="preserve">En développement, ne pas lancer uniquement Django </w:t>
      </w:r>
      <w:r>
        <w:rPr>
          <w:rFonts w:ascii="Consolas" w:hAnsi="Consolas"/>
          <w:color w:val="19374E"/>
          <w:sz w:val="18"/>
        </w:rPr>
        <w:t>runserver</w:t>
      </w:r>
      <w:r>
        <w:t xml:space="preserve"> si l’on valide les notifications temps réel ; lancer Daphne et Celery.</w:t>
      </w:r>
    </w:p>
    <w:p>
      <w:pPr>
        <w:pStyle w:val="Heading3"/>
      </w:pPr>
      <w:r>
        <w:t>Erreur de permission pnpm dans le Dev Container</w:t>
      </w:r>
    </w:p>
    <w:p>
      <w:r>
        <w:t xml:space="preserve">Utiliser les volumes anonymes Linux déjà déclarés dans </w:t>
      </w:r>
      <w:r>
        <w:rPr>
          <w:rFonts w:ascii="Consolas" w:hAnsi="Consolas"/>
          <w:color w:val="19374E"/>
          <w:sz w:val="18"/>
        </w:rPr>
        <w:t>.devcontainer/docker-compose.devcontainer.sqlite-tika.yml</w:t>
      </w:r>
      <w:r>
        <w:t xml:space="preserve">. Reconstruire le Dev Container si un ancien </w:t>
      </w:r>
      <w:r>
        <w:rPr>
          <w:rFonts w:ascii="Consolas" w:hAnsi="Consolas"/>
          <w:color w:val="19374E"/>
          <w:sz w:val="18"/>
        </w:rPr>
        <w:t>node_modules</w:t>
      </w:r>
      <w:r>
        <w:t xml:space="preserve"> appartenant à root subsiste. Ne pas partager un </w:t>
      </w:r>
      <w:r>
        <w:rPr>
          <w:rFonts w:ascii="Consolas" w:hAnsi="Consolas"/>
          <w:color w:val="19374E"/>
          <w:sz w:val="18"/>
        </w:rPr>
        <w:t>node_modules</w:t>
      </w:r>
      <w:r>
        <w:t xml:space="preserve"> Windows dans le conteneur.</w:t>
      </w:r>
    </w:p>
    <w:p>
      <w:pPr>
        <w:pStyle w:val="Heading3"/>
      </w:pPr>
      <w:r>
        <w:t>Une signature ou un workflow n’avance pas</w:t>
      </w:r>
    </w:p>
    <w:p>
      <w:r>
        <w:t>Vérifier : permission de consultation du signataire, appartenance au groupe Signataires, présence d’un profil de signature, état de la demande, worker actif, activité du workflow et message d’erreur de l’étape. Les workflows séquentiels attendent explicitement la fin d’une étape humaine.</w:t>
      </w:r>
    </w:p>
    <w:p>
      <w:pPr>
        <w:pStyle w:val="Heading2"/>
      </w:pPr>
      <w:r>
        <w:t>14. Sécurité avant mise en production</w:t>
      </w:r>
    </w:p>
    <w:p>
      <w:pPr>
        <w:pStyle w:val="ListBullet"/>
      </w:pPr>
      <w:r>
        <w:t>secrets uniques, non commités et stockés dans un coffre ;</w:t>
      </w:r>
    </w:p>
    <w:p>
      <w:pPr>
        <w:pStyle w:val="ListBullet"/>
      </w:pPr>
      <w:r>
        <w:t>TLS obligatoire hors réseau local ;</w:t>
      </w:r>
    </w:p>
    <w:p>
      <w:pPr>
        <w:pStyle w:val="ListBullet"/>
      </w:pPr>
      <w:r>
        <w:t>pas d’exposition publique de PostgreSQL, Valkey, Tika ou Gotenberg ;</w:t>
      </w:r>
    </w:p>
    <w:p>
      <w:pPr>
        <w:pStyle w:val="ListBullet"/>
      </w:pPr>
      <w:r>
        <w:t>principe du moindre privilège pour utilisateurs, groupes, armoires, documents et copies signées ;</w:t>
      </w:r>
    </w:p>
    <w:p>
      <w:pPr>
        <w:pStyle w:val="ListBullet"/>
      </w:pPr>
      <w:r>
        <w:t>comptes administrateurs séparés des comptes quotidiens ;</w:t>
      </w:r>
    </w:p>
    <w:p>
      <w:pPr>
        <w:pStyle w:val="ListBullet"/>
      </w:pPr>
      <w:r>
        <w:t>revue des utilisateurs du groupe Signataires ;</w:t>
      </w:r>
    </w:p>
    <w:p>
      <w:pPr>
        <w:pStyle w:val="ListBullet"/>
      </w:pPr>
      <w:r>
        <w:t>validation des permissions des copies signées indépendamment du document ;</w:t>
      </w:r>
    </w:p>
    <w:p>
      <w:pPr>
        <w:pStyle w:val="ListBullet"/>
      </w:pPr>
      <w:r>
        <w:t>sauvegardes chiffrées et tests de restauration ;</w:t>
      </w:r>
    </w:p>
    <w:p>
      <w:pPr>
        <w:pStyle w:val="ListBullet"/>
      </w:pPr>
      <w:r>
        <w:t>mises à jour de sécurité planifiées ;</w:t>
      </w:r>
    </w:p>
    <w:p>
      <w:pPr>
        <w:pStyle w:val="ListBullet"/>
      </w:pPr>
      <w:r>
        <w:t>journalisation et surveillance des rejets, suppressions et échecs de workflow ;</w:t>
      </w:r>
    </w:p>
    <w:p>
      <w:pPr>
        <w:pStyle w:val="ListBullet"/>
      </w:pPr>
      <w:r>
        <w:t>revue juridique avant toute affirmation de signature électronique légale.</w:t>
      </w:r>
    </w:p>
    <w:p>
      <w:pPr>
        <w:pStyle w:val="Heading2"/>
      </w:pPr>
      <w:r>
        <w:t>15. Publication du dépôt</w:t>
      </w:r>
    </w:p>
    <w:p>
      <w:r>
        <w:t>Rendre le dépôt public facilite fortement le transfert, la construction Docker et le respect de la licence GPL-3.0 du projet amont. C’est recommandé uniquement après :</w:t>
      </w:r>
    </w:p>
    <w:p>
      <w:pPr>
        <w:pStyle w:val="ListNumber"/>
      </w:pPr>
      <w:r>
        <w:t>autorisation du propriétaire du projet et absence de code/données confidentiels ;</w:t>
      </w:r>
    </w:p>
    <w:p>
      <w:pPr>
        <w:pStyle w:val="ListNumber"/>
      </w:pPr>
      <w:r>
        <w:t>vérification de tout l’historique Git, pas seulement du dernier état ;</w:t>
      </w:r>
    </w:p>
    <w:p>
      <w:pPr>
        <w:pStyle w:val="ListNumber"/>
      </w:pPr>
      <w:r>
        <w:t>suppression ou rotation de tout secret, jeton, mot de passe, URL interne et donnée personnelle ;</w:t>
      </w:r>
    </w:p>
    <w:p>
      <w:pPr>
        <w:pStyle w:val="ListNumber"/>
      </w:pPr>
      <w:r>
        <w:t>maintien des avis de licence et d’attribution Paperless-ngx ;</w:t>
      </w:r>
    </w:p>
    <w:p>
      <w:pPr>
        <w:pStyle w:val="ListNumber"/>
      </w:pPr>
      <w:r>
        <w:t>ajout d’un tag de livraison et d’une description claire du caractère dérivé/non officiel.</w:t>
      </w:r>
    </w:p>
    <w:p>
      <w:r>
        <w:t>Un dépôt privé peut parfaitement être livré à des collaborateurs autorisés. Dans ce cas, le serveur ou le pipeline doit disposer d’un accès Git/GHCR. Ne jamais rendre public uniquement pour contourner un problème d’authentification.</w:t>
      </w:r>
    </w:p>
    <w:p>
      <w:pPr>
        <w:pStyle w:val="Heading2"/>
      </w:pPr>
      <w:r>
        <w:t>16. Critères de transfert au repreneur</w:t>
      </w:r>
    </w:p>
    <w:p>
      <w:r>
        <w:t>Le repreneur doit recevoir : le tag/hash exact, les guides, le Compose, les secrets par canal séparé, une sauvegarde testée, un compte administrateur remis de façon sûre, la vidéo de démonstration et la liste des écarts connus. Il doit confirmer qu’il sait construire l’image, restaurer une sauvegarde, ajouter un utilisateur, gérer les permissions, traiter une signature et diagnostiquer un workflow.</w:t>
      </w:r>
    </w:p>
    <w:p>
      <w:r>
        <w:br w:type="page"/>
      </w:r>
    </w:p>
    <w:p>
      <w:pPr>
        <w:pStyle w:val="Heading1"/>
      </w:pPr>
      <w:r>
        <w:t>Partie II — Guide utilisateur détaillé</w:t>
      </w:r>
    </w:p>
    <w:p>
      <w:pPr>
        <w:pStyle w:val="Heading2"/>
      </w:pPr>
      <w:r>
        <w:t>1. Concepts essentiels</w:t>
      </w:r>
    </w:p>
    <w:p>
      <w:r>
        <w:t>GED-SARTEX centralise les documents, extrait leur texte par OCR et permet de les retrouver par recherche, attributs et permissions. Les éléments principaux sont :</w:t>
      </w:r>
    </w:p>
    <w:p>
      <w:pPr>
        <w:pStyle w:val="ListBullet"/>
      </w:pPr>
      <w:r>
        <w:rPr>
          <w:b/>
        </w:rPr>
        <w:t>document</w:t>
      </w:r>
      <w:r>
        <w:t xml:space="preserve"> : original importé, archive OCR, métadonnées et versions ordinaires ;</w:t>
      </w:r>
    </w:p>
    <w:p>
      <w:pPr>
        <w:pStyle w:val="ListBullet"/>
      </w:pPr>
      <w:r>
        <w:rPr>
          <w:b/>
        </w:rPr>
        <w:t>tag</w:t>
      </w:r>
      <w:r>
        <w:t xml:space="preserve"> : étiquette multiple et transversale ;</w:t>
      </w:r>
    </w:p>
    <w:p>
      <w:pPr>
        <w:pStyle w:val="ListBullet"/>
      </w:pPr>
      <w:r>
        <w:rPr>
          <w:b/>
        </w:rPr>
        <w:t>correspondant</w:t>
      </w:r>
      <w:r>
        <w:t xml:space="preserve"> : personne ou organisation liée au document ;</w:t>
      </w:r>
    </w:p>
    <w:p>
      <w:pPr>
        <w:pStyle w:val="ListBullet"/>
      </w:pPr>
      <w:r>
        <w:rPr>
          <w:b/>
        </w:rPr>
        <w:t>type de document</w:t>
      </w:r>
      <w:r>
        <w:t xml:space="preserve"> : nature fonctionnelle, par exemple facture ou contrat ;</w:t>
      </w:r>
    </w:p>
    <w:p>
      <w:pPr>
        <w:pStyle w:val="ListBullet"/>
      </w:pPr>
      <w:r>
        <w:rPr>
          <w:b/>
        </w:rPr>
        <w:t>armoire</w:t>
      </w:r>
      <w:r>
        <w:t xml:space="preserve"> : classement principal ajouté par GED-SARTEX, avec permissions héritables ;</w:t>
      </w:r>
    </w:p>
    <w:p>
      <w:pPr>
        <w:pStyle w:val="ListBullet"/>
      </w:pPr>
      <w:r>
        <w:rPr>
          <w:b/>
        </w:rPr>
        <w:t>copie signée</w:t>
      </w:r>
      <w:r>
        <w:t xml:space="preserve"> : PDF final issu d’une demande de signature, conservé séparément des versions ordinaires ;</w:t>
      </w:r>
    </w:p>
    <w:p>
      <w:pPr>
        <w:pStyle w:val="ListBullet"/>
      </w:pPr>
      <w:r>
        <w:rPr>
          <w:b/>
        </w:rPr>
        <w:t>workflow</w:t>
      </w:r>
      <w:r>
        <w:t xml:space="preserve"> : déclencheur suivi d’actions exécutées dans un ordre déterminé ;</w:t>
      </w:r>
    </w:p>
    <w:p>
      <w:pPr>
        <w:pStyle w:val="ListBullet"/>
      </w:pPr>
      <w:r>
        <w:rPr>
          <w:b/>
        </w:rPr>
        <w:t>approbation</w:t>
      </w:r>
      <w:r>
        <w:t xml:space="preserve"> : décision humaine qui bloque la suite jusqu’à acceptation ou rejet.</w:t>
      </w:r>
    </w:p>
    <w:p>
      <w:r>
        <w:t>Les menus visibles dépendent des permissions. L’absence d’un écran n’est pas nécessairement une erreur : demander à l’administrateur les droits nécessaires.</w:t>
      </w:r>
    </w:p>
    <w:p>
      <w:pPr>
        <w:pStyle w:val="Heading2"/>
      </w:pPr>
      <w:r>
        <w:t>2. Connexion, langue et profil</w:t>
      </w:r>
    </w:p>
    <w:p>
      <w:r>
        <w:t xml:space="preserve">Se connecter avec le compte fourni. Dans les paramètres du profil, choisir </w:t>
      </w:r>
      <w:r>
        <w:rPr>
          <w:b/>
        </w:rPr>
        <w:t>Français</w:t>
      </w:r>
      <w:r>
        <w:t xml:space="preserve"> puis enregistrer et recharger la page. Les libellés ajoutés pour les armoires, signatures et workflows disposent d’une traduction française ; certains textes hérités de bibliothèques ou messages techniques peuvent rester en anglais.</w:t>
      </w:r>
    </w:p>
    <w:p>
      <w:r>
        <w:t>Ne jamais partager son mot de passe ou son jeton API. Le jeton API est réservé aux intégrations et doit être révoqué lorsqu’il n’est plus utilisé.</w:t>
      </w:r>
    </w:p>
    <w:p>
      <w:pPr>
        <w:pStyle w:val="Heading2"/>
      </w:pPr>
      <w:r>
        <w:t>3. Importer et traiter un document</w:t>
      </w:r>
    </w:p>
    <w:p>
      <w:r>
        <w:t xml:space="preserve">Un document peut être ajouté depuis le bouton d’envoi, glissé dans l’interface ou placé dans le dossier </w:t>
      </w:r>
      <w:r>
        <w:rPr>
          <w:rFonts w:ascii="Consolas" w:hAnsi="Consolas"/>
          <w:color w:val="19374E"/>
          <w:sz w:val="18"/>
        </w:rPr>
        <w:t>consume</w:t>
      </w:r>
      <w:r>
        <w:t xml:space="preserve"> par un opérateur autorisé. Après l’envoi :</w:t>
      </w:r>
    </w:p>
    <w:p>
      <w:pPr>
        <w:pStyle w:val="ListNumber"/>
      </w:pPr>
      <w:r>
        <w:t>le fichier est accepté ;</w:t>
      </w:r>
    </w:p>
    <w:p>
      <w:pPr>
        <w:pStyle w:val="ListNumber"/>
      </w:pPr>
      <w:r>
        <w:t>le worker effectue l’OCR et la conversion ;</w:t>
      </w:r>
    </w:p>
    <w:p>
      <w:pPr>
        <w:pStyle w:val="ListNumber"/>
      </w:pPr>
      <w:r>
        <w:t>les règles de correspondance et workflows peuvent s’exécuter ;</w:t>
      </w:r>
    </w:p>
    <w:p>
      <w:pPr>
        <w:pStyle w:val="ListNumber"/>
      </w:pPr>
      <w:r>
        <w:t>le document devient disponible dans la liste.</w:t>
      </w:r>
    </w:p>
    <w:p>
      <w:r>
        <w:t>Si « en attente » reste affiché alors que le document existe, recharger une fois puis signaler l’incident si le problème persiste : les notifications temps réel ou le worker peuvent être indisponibles.</w:t>
      </w:r>
    </w:p>
    <w:p>
      <w:r>
        <w:t>Dans la fiche du document, vérifier le titre, la date, le correspondant, le type, les tags, l’armoire, les champs personnalisés et les permissions. Les traitements automatiques doivent toujours être contrôlés pour les documents sensibles.</w:t>
      </w:r>
    </w:p>
    <w:p>
      <w:pPr>
        <w:pStyle w:val="Heading2"/>
      </w:pPr>
      <w:r>
        <w:t>4. Rechercher et organiser</w:t>
      </w:r>
    </w:p>
    <w:p>
      <w:r>
        <w:t>Utiliser la barre de recherche pour le texte OCR, les titres et les métadonnées. Combiner la recherche avec les filtres de tags, correspondants, types, armoires, dates, propriétaires et champs personnalisés. Les vues enregistrées permettent de conserver une recherche fréquente.</w:t>
      </w:r>
    </w:p>
    <w:p>
      <w:r>
        <w:t>Un filtre ne donne jamais un droit supplémentaire : un utilisateur ne voit que les objets qu’il est autorisé à consulter.</w:t>
      </w:r>
    </w:p>
    <w:p>
      <w:pPr>
        <w:pStyle w:val="Heading2"/>
      </w:pPr>
      <w:r>
        <w:t>5. Armoires</w:t>
      </w:r>
    </w:p>
    <w:p>
      <w:pPr>
        <w:pStyle w:val="Heading3"/>
      </w:pPr>
      <w:r>
        <w:t>5.1 Créer une armoire</w:t>
      </w:r>
    </w:p>
    <w:p>
      <w:r>
        <w:t xml:space="preserve">Un utilisateur doit posséder l’autorisation d’ajouter des armoires. Depuis </w:t>
      </w:r>
      <w:r>
        <w:rPr>
          <w:b/>
        </w:rPr>
        <w:t>Attributs</w:t>
      </w:r>
      <w:r>
        <w:t xml:space="preserve"> ou </w:t>
      </w:r>
      <w:r>
        <w:rPr>
          <w:b/>
        </w:rPr>
        <w:t>Armoires</w:t>
      </w:r>
      <w:r>
        <w:t>, créer l’armoire, saisir son nom et, si souhaité, configurer son algorithme de correspondance comme pour les tags et types.</w:t>
      </w:r>
    </w:p>
    <w:p>
      <w:r>
        <w:t>Définir ensuite les permissions de consultation et de modification pour les utilisateurs ou groupes concernés. La permission globale de voir les armoires contrôle l’accès au type d’objet ; les permissions objet contrôlent l’accès à une armoire précise.</w:t>
      </w:r>
    </w:p>
    <w:p>
      <w:pPr>
        <w:pStyle w:val="Heading3"/>
      </w:pPr>
      <w:r>
        <w:t>5.2 Affecter un document</w:t>
      </w:r>
    </w:p>
    <w:p>
      <w:r>
        <w:t xml:space="preserve">Dans la fiche du document, choisir une armoire. Depuis l’écran </w:t>
      </w:r>
      <w:r>
        <w:rPr>
          <w:b/>
        </w:rPr>
        <w:t>Armoires</w:t>
      </w:r>
      <w:r>
        <w:t>, rechercher ou filtrer la liste, puis ouvrir une armoire pour accéder à la liste des documents filtrée sur cette armoire. L’interface indique le contexte de l’armoire active.</w:t>
      </w:r>
    </w:p>
    <w:p>
      <w:r>
        <w:t>Un document appartient à une armoire à la fois dans cette implémentation. Les tags restent adaptés aux classements multiples.</w:t>
      </w:r>
    </w:p>
    <w:p>
      <w:pPr>
        <w:pStyle w:val="Heading3"/>
      </w:pPr>
      <w:r>
        <w:t>5.3 Correspondance automatique</w:t>
      </w:r>
    </w:p>
    <w:p>
      <w:r>
        <w:t>Une armoire peut reprendre les mécanismes de correspondance disponibles pour les autres attributs : texte, règles et algorithmes proposés par l’interface. Tester la règle sur un échantillon avant de l’activer à grande échelle. Une action de workflow peut aussi lancer la correspondance automatique ou affecter explicitement une armoire.</w:t>
      </w:r>
    </w:p>
    <w:p>
      <w:pPr>
        <w:pStyle w:val="Heading3"/>
      </w:pPr>
      <w:r>
        <w:t>5.4 Héritage des permissions</w:t>
      </w:r>
    </w:p>
    <w:p>
      <w:r>
        <w:t xml:space="preserve">Le commutateur </w:t>
      </w:r>
      <w:r>
        <w:rPr>
          <w:b/>
        </w:rPr>
        <w:t>Hériter des permissions de l’armoire</w:t>
      </w:r>
      <w:r>
        <w:t xml:space="preserve"> détermine la politique du document :</w:t>
      </w:r>
    </w:p>
    <w:p>
      <w:pPr>
        <w:pStyle w:val="ListBullet"/>
      </w:pPr>
      <w:r>
        <w:t>activé : les droits de consultation et modification de l’armoire servent pour le document ;</w:t>
      </w:r>
    </w:p>
    <w:p>
      <w:pPr>
        <w:pStyle w:val="ListBullet"/>
      </w:pPr>
      <w:r>
        <w:t>désactivé : les permissions propres au document peuvent être gérées indépendamment.</w:t>
      </w:r>
    </w:p>
    <w:p>
      <w:r>
        <w:t>Cet héritage concerne la consultation et la modification. La suppression reste un droit distinct et sensible. Pour cacher un document à un membre normalement autorisé sur l’armoire, désactiver l’héritage puis définir explicitement les personnes et groupes autorisés sur le document.</w:t>
      </w:r>
    </w:p>
    <w:p>
      <w:r>
        <w:t>Après tout changement, tester avec un compte non administrateur. Un superutilisateur n’est pas un bon compte de validation, car il contourne de nombreux contrôles.</w:t>
      </w:r>
    </w:p>
    <w:p>
      <w:pPr>
        <w:pStyle w:val="Heading2"/>
      </w:pPr>
      <w:r>
        <w:t>6. Utilisateurs, groupes et permissions</w:t>
      </w:r>
    </w:p>
    <w:p>
      <w:pPr>
        <w:pStyle w:val="Heading3"/>
      </w:pPr>
      <w:r>
        <w:t>6.1 Permissions globales et permissions objet</w:t>
      </w:r>
    </w:p>
    <w:p>
      <w:r>
        <w:t>Les permissions globales autorisent une catégorie d’opération, par exemple ajouter ou voir des armoires, demander une signature, voir des workflows ou superviser leur activité. Les permissions objet limitent l’accès à une armoire, un document ou une copie signée déterminée.</w:t>
      </w:r>
    </w:p>
    <w:p>
      <w:r>
        <w:t>Accorder uniquement les droits nécessaires :</w:t>
      </w:r>
    </w:p>
    <w:p>
      <w:pPr>
        <w:pStyle w:val="ListBullet"/>
      </w:pPr>
      <w:r>
        <w:t>consultation pour lire/télécharger ;</w:t>
      </w:r>
    </w:p>
    <w:p>
      <w:pPr>
        <w:pStyle w:val="ListBullet"/>
      </w:pPr>
      <w:r>
        <w:t>modification pour changer les métadonnées ou gérer ce que l’écran autorise ;</w:t>
      </w:r>
    </w:p>
    <w:p>
      <w:pPr>
        <w:pStyle w:val="ListBullet"/>
      </w:pPr>
      <w:r>
        <w:t>suppression pour détruire ;</w:t>
      </w:r>
    </w:p>
    <w:p>
      <w:pPr>
        <w:pStyle w:val="ListBullet"/>
      </w:pPr>
      <w:r>
        <w:t>ajout pour créer un objet de ce type.</w:t>
      </w:r>
    </w:p>
    <w:p>
      <w:pPr>
        <w:pStyle w:val="Heading3"/>
      </w:pPr>
      <w:r>
        <w:t>6.2 Groupes intégrés</w:t>
      </w:r>
    </w:p>
    <w:p>
      <w:r>
        <w:t xml:space="preserve">Les groupes intégrés sont des groupes système distingués des groupes personnalisés. Ils ne peuvent pas être supprimés ni transformés en groupes ordinaires. Le groupe </w:t>
      </w:r>
      <w:r>
        <w:rPr>
          <w:b/>
        </w:rPr>
        <w:t>Signataires</w:t>
      </w:r>
      <w:r>
        <w:t xml:space="preserve"> active l’accès au parapheur pour ses membres. Les permissions du groupe peuvent être administrées conformément à la politique du site.</w:t>
      </w:r>
    </w:p>
    <w:p>
      <w:r>
        <w:t>L’appartenance au groupe Signataires ne donne pas automatiquement accès à tous les documents : le signataire doit aussi pouvoir consulter le document concerné pour apparaître comme destinataire d’une demande.</w:t>
      </w:r>
    </w:p>
    <w:p>
      <w:pPr>
        <w:pStyle w:val="Heading3"/>
      </w:pPr>
      <w:r>
        <w:t>6.3 Bon modèle de rôles</w:t>
      </w:r>
    </w:p>
    <w:p>
      <w:pPr>
        <w:pStyle w:val="ListBullet"/>
      </w:pPr>
      <w:r>
        <w:t>administrateurs techniques : configuration, sauvegarde et dépannage ;</w:t>
      </w:r>
    </w:p>
    <w:p>
      <w:pPr>
        <w:pStyle w:val="ListBullet"/>
      </w:pPr>
      <w:r>
        <w:t>administrateurs fonctionnels : utilisateurs, groupes, attributs et workflows ;</w:t>
      </w:r>
    </w:p>
    <w:p>
      <w:pPr>
        <w:pStyle w:val="ListBullet"/>
      </w:pPr>
      <w:r>
        <w:t>demandeurs de signature : permission dédiée, uniquement sur les documents qu’ils consultent ;</w:t>
      </w:r>
    </w:p>
    <w:p>
      <w:pPr>
        <w:pStyle w:val="ListBullet"/>
      </w:pPr>
      <w:r>
        <w:t>signataires : groupe Signataires et droits ciblés sur les documents ;</w:t>
      </w:r>
    </w:p>
    <w:p>
      <w:pPr>
        <w:pStyle w:val="ListBullet"/>
      </w:pPr>
      <w:r>
        <w:t>superviseurs : permission de voir l’activité des workflows ;</w:t>
      </w:r>
    </w:p>
    <w:p>
      <w:pPr>
        <w:pStyle w:val="ListBullet"/>
      </w:pPr>
      <w:r>
        <w:t>lecteurs : consultation minimale par groupe/armoire.</w:t>
      </w:r>
    </w:p>
    <w:p>
      <w:r>
        <w:t>Éviter d’attribuer des permissions individuellement à grande échelle ; préférer les groupes, puis utiliser les exceptions objet avec parcimonie.</w:t>
      </w:r>
    </w:p>
    <w:p>
      <w:pPr>
        <w:pStyle w:val="Heading2"/>
      </w:pPr>
      <w:r>
        <w:t>7. Signature visuelle</w:t>
      </w:r>
    </w:p>
    <w:p>
      <w:pPr>
        <w:pStyle w:val="Heading3"/>
      </w:pPr>
      <w:r>
        <w:t>7.1 Limite juridique</w:t>
      </w:r>
    </w:p>
    <w:p>
      <w:r>
        <w:t>La fonctionnalité appose une image de signature et produit un PDF signé visuellement. Elle enregistre le demandeur, le signataire, la version source, l’emplacement et des empreintes de fichiers. Elle n’implémente pas une signature cryptographique qualifiée, un certificat de confiance, un horodatage qualifié ni une vérification d’identité forte.</w:t>
      </w:r>
    </w:p>
    <w:p>
      <w:pPr>
        <w:pStyle w:val="Heading3"/>
      </w:pPr>
      <w:r>
        <w:t>7.2 Préparer le signataire</w:t>
      </w:r>
    </w:p>
    <w:p>
      <w:r>
        <w:t>L’administrateur :</w:t>
      </w:r>
    </w:p>
    <w:p>
      <w:pPr>
        <w:pStyle w:val="ListNumber"/>
      </w:pPr>
      <w:r>
        <w:t xml:space="preserve">ajoute l’utilisateur au groupe intégré </w:t>
      </w:r>
      <w:r>
        <w:rPr>
          <w:b/>
        </w:rPr>
        <w:t>Signataires</w:t>
      </w:r>
      <w:r>
        <w:t xml:space="preserve"> ;</w:t>
      </w:r>
    </w:p>
    <w:p>
      <w:pPr>
        <w:pStyle w:val="ListNumber"/>
      </w:pPr>
      <w:r>
        <w:t>lui accorde la consultation des documents à signer, directement ou par groupe/armoire ;</w:t>
      </w:r>
    </w:p>
    <w:p>
      <w:pPr>
        <w:pStyle w:val="ListNumber"/>
      </w:pPr>
      <w:r>
        <w:t xml:space="preserve">vérifie que l’onglet </w:t>
      </w:r>
      <w:r>
        <w:rPr>
          <w:b/>
        </w:rPr>
        <w:t>Demandes de signature</w:t>
      </w:r>
      <w:r>
        <w:t xml:space="preserve"> ou </w:t>
      </w:r>
      <w:r>
        <w:rPr>
          <w:b/>
        </w:rPr>
        <w:t>Parapheur</w:t>
      </w:r>
      <w:r>
        <w:t xml:space="preserve"> apparaît après reconnexion.</w:t>
      </w:r>
    </w:p>
    <w:p>
      <w:r>
        <w:t xml:space="preserve">Le signataire ouvre le parapheur, choisit </w:t>
      </w:r>
      <w:r>
        <w:rPr>
          <w:b/>
        </w:rPr>
        <w:t>Modifier ma signature</w:t>
      </w:r>
      <w:r>
        <w:t>, puis dépose un PNG, PDF ou autre format accepté. L’application prépare une version avec fond supprimé lorsque possible. Seul le signataire peut voir et modifier son propre fichier de signature.</w:t>
      </w:r>
    </w:p>
    <w:p>
      <w:r>
        <w:t>Avant d’enregistrer, contrôler l’aperçu immédiat. Une signature avec fond uniforme et fort contraste produit généralement le meilleur résultat.</w:t>
      </w:r>
    </w:p>
    <w:p>
      <w:pPr>
        <w:pStyle w:val="Heading3"/>
      </w:pPr>
      <w:r>
        <w:t>7.3 Demander une signature</w:t>
      </w:r>
    </w:p>
    <w:p>
      <w:r>
        <w:t xml:space="preserve">Dans la fiche du document, ouvrir l’onglet </w:t>
      </w:r>
      <w:r>
        <w:rPr>
          <w:b/>
        </w:rPr>
        <w:t>Signatures</w:t>
      </w:r>
      <w:r>
        <w:t xml:space="preserve"> puis :</w:t>
      </w:r>
    </w:p>
    <w:p>
      <w:pPr>
        <w:pStyle w:val="ListNumber"/>
      </w:pPr>
      <w:r>
        <w:t>choisir un seul signataire ;</w:t>
      </w:r>
    </w:p>
    <w:p>
      <w:pPr>
        <w:pStyle w:val="ListNumber"/>
      </w:pPr>
      <w:r>
        <w:t>ajouter un message facultatif ;</w:t>
      </w:r>
    </w:p>
    <w:p>
      <w:pPr>
        <w:pStyle w:val="ListNumber"/>
      </w:pPr>
      <w:r>
        <w:t>envoyer la demande.</w:t>
      </w:r>
    </w:p>
    <w:p>
      <w:r>
        <w:t>La liste exclut le demandeur lui-même et les signataires qui ne peuvent pas consulter le document. Une seule demande en attente ou en traitement est permise pour le même document, la même version et le même signataire. Après création d’une copie signée, le même signataire ne peut pas signer une seconde fois la même version tant que cette copie existe. Une autre version peut faire l’objet d’une nouvelle demande.</w:t>
      </w:r>
    </w:p>
    <w:p>
      <w:r>
        <w:t>Le demandeur peut suivre les états : en attente, traitement, signée, rejetée, annulée ou échouée. Les couleurs facilitent la lecture. Les demandes annulées et terminées restent dans l’historique.</w:t>
      </w:r>
    </w:p>
    <w:p>
      <w:pPr>
        <w:pStyle w:val="Heading3"/>
      </w:pPr>
      <w:r>
        <w:t>7.4 Traiter une demande dans le parapheur</w:t>
      </w:r>
    </w:p>
    <w:p>
      <w:r>
        <w:t>Le parapheur ne présente à chaque signataire que les demandes qui lui sont assignées. Le badge rouge indique le nombre de demandes en attente et se met à jour avec les événements de l’application.</w:t>
      </w:r>
    </w:p>
    <w:p>
      <w:r>
        <w:t>Le signataire peut :</w:t>
      </w:r>
    </w:p>
    <w:p>
      <w:pPr>
        <w:pStyle w:val="ListBullet"/>
      </w:pPr>
      <w:r>
        <w:t>ouvrir la demande et lire le message ;</w:t>
      </w:r>
    </w:p>
    <w:p>
      <w:pPr>
        <w:pStyle w:val="ListBullet"/>
      </w:pPr>
      <w:r>
        <w:t>rejeter en saisissant un motif ;</w:t>
      </w:r>
    </w:p>
    <w:p>
      <w:pPr>
        <w:pStyle w:val="ListBullet"/>
      </w:pPr>
      <w:r>
        <w:t>accepter, ouvrir l’aperçu du PDF, faire glisser sa signature, la redimensionner et la positionner sans masquer le contenu ;</w:t>
      </w:r>
    </w:p>
    <w:p>
      <w:pPr>
        <w:pStyle w:val="ListBullet"/>
      </w:pPr>
      <w:r>
        <w:t>confirmer la signature.</w:t>
      </w:r>
    </w:p>
    <w:p>
      <w:r>
        <w:t>La vue conserve également l’historique des demandes signées, rejetées et annulées. En cas d’échec, ne pas créer une seconde demande sans examiner le message et l’activité du workflow éventuel.</w:t>
      </w:r>
    </w:p>
    <w:p>
      <w:pPr>
        <w:pStyle w:val="Heading3"/>
      </w:pPr>
      <w:r>
        <w:t>7.5 Copies signées</w:t>
      </w:r>
    </w:p>
    <w:p>
      <w:r>
        <w:t xml:space="preserve">Dans </w:t>
      </w:r>
      <w:r>
        <w:rPr>
          <w:b/>
        </w:rPr>
        <w:t>Signatures → Copies signées</w:t>
      </w:r>
      <w:r>
        <w:t>, les PDF signés sont regroupés avec le signataire, la version source, le demandeur et la date. Ces copies ne sont pas des documents ordinaires et n’encombrent pas la corbeille comme plusieurs documents indépendants.</w:t>
      </w:r>
    </w:p>
    <w:p>
      <w:r>
        <w:t>Les permissions d’une copie signée sont indépendantes de celles du document. Le bouton d’ouverture n’apparaît que si l’utilisateur peut consulter cette copie. Les utilisateurs autorisés à la gérer peuvent modifier ses permissions ou la supprimer selon leurs droits. L’utilisateur courant n’est pas proposé comme cible à retirer de ses propres permissions via l’interface.</w:t>
      </w:r>
    </w:p>
    <w:p>
      <w:r>
        <w:t xml:space="preserve">Lorsqu’une copie signée est supprimée, la demande terminée reste visible et porte l’indication </w:t>
      </w:r>
      <w:r>
        <w:rPr>
          <w:b/>
        </w:rPr>
        <w:t>Copie signée supprimée</w:t>
      </w:r>
      <w:r>
        <w:t>. La suppression lève aussi la contrainte empêchant une nouvelle signature de cette version par le même signataire.</w:t>
      </w:r>
    </w:p>
    <w:p>
      <w:r>
        <w:t>La mise à la corbeille puis la suppression d’un document doit entraîner le nettoyage de ses copies signées selon le cycle prévu, sans créer plusieurs entrées de document ordinaires.</w:t>
      </w:r>
    </w:p>
    <w:p>
      <w:pPr>
        <w:pStyle w:val="Heading3"/>
      </w:pPr>
      <w:r>
        <w:t>7.6 Qui peut voir quoi</w:t>
      </w:r>
    </w:p>
    <w:p>
      <w:pPr>
        <w:pStyle w:val="ListBullet"/>
      </w:pPr>
      <w:r>
        <w:t>le fichier de signature personnel : uniquement son signataire ;</w:t>
      </w:r>
    </w:p>
    <w:p>
      <w:pPr>
        <w:pStyle w:val="ListBullet"/>
      </w:pPr>
      <w:r>
        <w:t>une demande : son signataire, son demandeur et les acteurs administratifs autorisés selon l’API/écran ;</w:t>
      </w:r>
    </w:p>
    <w:p>
      <w:pPr>
        <w:pStyle w:val="ListBullet"/>
      </w:pPr>
      <w:r>
        <w:t>le parapheur : uniquement les demandes du signataire connecté ;</w:t>
      </w:r>
    </w:p>
    <w:p>
      <w:pPr>
        <w:pStyle w:val="ListBullet"/>
      </w:pPr>
      <w:r>
        <w:t>une copie signée : uniquement les utilisateurs/groupes ayant la permission objet ou les administrateurs habilités ;</w:t>
      </w:r>
    </w:p>
    <w:p>
      <w:pPr>
        <w:pStyle w:val="ListBullet"/>
      </w:pPr>
      <w:r>
        <w:t>l’historique du document : selon l’accès au document, avec les événements de demande, annulation, signature ou rejet.</w:t>
      </w:r>
    </w:p>
    <w:p>
      <w:pPr>
        <w:pStyle w:val="Heading2"/>
      </w:pPr>
      <w:r>
        <w:t>8. Workflows séquentiels</w:t>
      </w:r>
    </w:p>
    <w:p>
      <w:pPr>
        <w:pStyle w:val="Heading3"/>
      </w:pPr>
      <w:r>
        <w:t>8.1 Principe</w:t>
      </w:r>
    </w:p>
    <w:p>
      <w:r>
        <w:t>Un workflow se construit comme une suite de briques : le premier bloc est le déclencheur, puis les actions numérotées s’exécutent dans l’ordre. Une action ne démarre pas avant la réussite de la précédente. Une approbation ou une signature place l’exécution en attente jusqu’à la décision humaine.</w:t>
      </w:r>
    </w:p>
    <w:p>
      <w:r>
        <w:t xml:space="preserve">Le terme « workflow » est utilisé dans l’interface. Certains noms techniques historiques peuvent encore contenir </w:t>
      </w:r>
      <w:r>
        <w:rPr>
          <w:rFonts w:ascii="Consolas" w:hAnsi="Consolas"/>
          <w:color w:val="19374E"/>
          <w:sz w:val="18"/>
        </w:rPr>
        <w:t>Circuit</w:t>
      </w:r>
      <w:r>
        <w:t xml:space="preserve"> dans le code ou l’API ; ils ne désignent pas un second produit.</w:t>
      </w:r>
    </w:p>
    <w:p>
      <w:pPr>
        <w:pStyle w:val="Heading3"/>
      </w:pPr>
      <w:r>
        <w:t>8.2 Créer le déclencheur</w:t>
      </w:r>
    </w:p>
    <w:p>
      <w:r>
        <w:t xml:space="preserve">Depuis </w:t>
      </w:r>
      <w:r>
        <w:rPr>
          <w:b/>
        </w:rPr>
        <w:t>Workflows</w:t>
      </w:r>
      <w:r>
        <w:t>, créer ou modifier un workflow. Définir son nom et son ordre, puis le déclencheur initial : document ajouté, document mis à jour ou autre événement proposé. Ajouter des filtres pour limiter le lancement : source, mots présents, tags, types, correspondants, armoires ou critères disponibles.</w:t>
      </w:r>
    </w:p>
    <w:p>
      <w:r>
        <w:t>Un déclencheur trop large peut démarrer des traitements sur tous les documents. Commencer avec des conditions précises et tester sur un document de recette.</w:t>
      </w:r>
    </w:p>
    <w:p>
      <w:pPr>
        <w:pStyle w:val="Heading3"/>
      </w:pPr>
      <w:r>
        <w:t>8.3 Ajouter et ordonner les actions</w:t>
      </w:r>
    </w:p>
    <w:p>
      <w:r>
        <w:t xml:space="preserve">Utiliser les signes </w:t>
      </w:r>
      <w:r>
        <w:rPr>
          <w:b/>
        </w:rPr>
        <w:t>+</w:t>
      </w:r>
      <w:r>
        <w:t xml:space="preserve"> avant, entre ou après les étapes. Les actions portent un numéro d’ordre et peuvent être réorganisées. Actions disponibles selon la configuration :</w:t>
      </w:r>
    </w:p>
    <w:p>
      <w:pPr>
        <w:pStyle w:val="ListBullet"/>
      </w:pPr>
      <w:r>
        <w:t>affectation de titre, tags, type, correspondant, chemin, armoire, propriétaire ou permissions ;</w:t>
      </w:r>
    </w:p>
    <w:p>
      <w:pPr>
        <w:pStyle w:val="ListBullet"/>
      </w:pPr>
      <w:r>
        <w:t>retrait d’attributs ;</w:t>
      </w:r>
    </w:p>
    <w:p>
      <w:pPr>
        <w:pStyle w:val="ListBullet"/>
      </w:pPr>
      <w:r>
        <w:t>envoi d’e-mail ;</w:t>
      </w:r>
    </w:p>
    <w:p>
      <w:pPr>
        <w:pStyle w:val="ListBullet"/>
      </w:pPr>
      <w:r>
        <w:t>webhook ;</w:t>
      </w:r>
    </w:p>
    <w:p>
      <w:pPr>
        <w:pStyle w:val="ListBullet"/>
      </w:pPr>
      <w:r>
        <w:t>suppression de mot de passe ;</w:t>
      </w:r>
    </w:p>
    <w:p>
      <w:pPr>
        <w:pStyle w:val="ListBullet"/>
      </w:pPr>
      <w:r>
        <w:t>déplacement vers la corbeille ;</w:t>
      </w:r>
    </w:p>
    <w:p>
      <w:pPr>
        <w:pStyle w:val="ListBullet"/>
      </w:pPr>
      <w:r>
        <w:t>approbation ;</w:t>
      </w:r>
    </w:p>
    <w:p>
      <w:pPr>
        <w:pStyle w:val="ListBullet"/>
      </w:pPr>
      <w:r>
        <w:t>demande de signature ;</w:t>
      </w:r>
    </w:p>
    <w:p>
      <w:pPr>
        <w:pStyle w:val="ListBullet"/>
      </w:pPr>
      <w:r>
        <w:t>correspondance automatique.</w:t>
      </w:r>
    </w:p>
    <w:p>
      <w:r>
        <w:t>Enregistrer seulement après avoir renseigné le nom, l’ordre et les champs obligatoires. Si une validation échoue, corriger le champ signalé puis enregistrer à nouveau.</w:t>
      </w:r>
    </w:p>
    <w:p>
      <w:pPr>
        <w:pStyle w:val="Heading3"/>
      </w:pPr>
      <w:r>
        <w:t>8.4 Étape d’approbation</w:t>
      </w:r>
    </w:p>
    <w:p>
      <w:r>
        <w:t>Choisir exactement un utilisateur ou un groupe. Pour un groupe, sélectionner la règle :</w:t>
      </w:r>
    </w:p>
    <w:p>
      <w:pPr>
        <w:pStyle w:val="ListBullet"/>
      </w:pPr>
      <w:r>
        <w:rPr>
          <w:b/>
        </w:rPr>
        <w:t>un membre</w:t>
      </w:r>
      <w:r>
        <w:t xml:space="preserve"> : la première décision positive attendue permet d’avancer et les autres tâches en attente sont annulées ;</w:t>
      </w:r>
    </w:p>
    <w:p>
      <w:pPr>
        <w:pStyle w:val="ListBullet"/>
      </w:pPr>
      <w:r>
        <w:rPr>
          <w:b/>
        </w:rPr>
        <w:t>tous les membres</w:t>
      </w:r>
      <w:r>
        <w:t xml:space="preserve"> : chaque membre actif doit approuver.</w:t>
      </w:r>
    </w:p>
    <w:p>
      <w:r>
        <w:t>Choisir l’accès temporaire accordé pendant l’attente : consultation, modification ou aucune modification de permissions. Ces droits sont retirés à la fin lorsque l’application les avait accordés pour cette tâche, sous réserve des autres droits que l’utilisateur possède déjà.</w:t>
      </w:r>
    </w:p>
    <w:p>
      <w:r>
        <w:t xml:space="preserve">L’approbateur traite sa tâche dans </w:t>
      </w:r>
      <w:r>
        <w:rPr>
          <w:b/>
        </w:rPr>
        <w:t>Approbation</w:t>
      </w:r>
      <w:r>
        <w:t>, accepte ou rejette et peut fournir un commentaire. Un rejet peut arrêter le workflow ou emprunter une branche dédiée.</w:t>
      </w:r>
    </w:p>
    <w:p>
      <w:pPr>
        <w:pStyle w:val="Heading3"/>
      </w:pPr>
      <w:r>
        <w:t>8.5 Étape de demande de signature</w:t>
      </w:r>
    </w:p>
    <w:p>
      <w:r>
        <w:t>Choisir un signataire déterminé lors de la conception. À l’exécution, le workflow crée la demande et attend son résultat. Le signataire doit être actif, appartenir au groupe Signataires et être autorisé sur le document. Une signature réussie permet la suite ; un rejet, une annulation ou un échec applique la route de rejet configurée.</w:t>
      </w:r>
    </w:p>
    <w:p>
      <w:pPr>
        <w:pStyle w:val="Heading3"/>
      </w:pPr>
      <w:r>
        <w:t>8.6 Correspondance et affectation d’armoire</w:t>
      </w:r>
    </w:p>
    <w:p>
      <w:r>
        <w:t xml:space="preserve">L’action </w:t>
      </w:r>
      <w:r>
        <w:rPr>
          <w:b/>
        </w:rPr>
        <w:t>Correspondance automatique</w:t>
      </w:r>
      <w:r>
        <w:t xml:space="preserve"> peut lancer les moteurs existants pour tags, armoire et autres attributs pris en charge. Une action d’affectation explicite est préférable lorsqu’un résultat déterministe est nécessaire. Elle peut aussi définir l’héritage des permissions de l’armoire.</w:t>
      </w:r>
    </w:p>
    <w:p>
      <w:pPr>
        <w:pStyle w:val="Heading3"/>
      </w:pPr>
      <w:r>
        <w:t>8.7 Branches de rejet</w:t>
      </w:r>
    </w:p>
    <w:p>
      <w:r>
        <w:t xml:space="preserve">Les étapes humaines peuvent avoir une route alternative. Les actions de branche sont repérées par des lettres, par exemple </w:t>
      </w:r>
      <w:r>
        <w:rPr>
          <w:rFonts w:ascii="Consolas" w:hAnsi="Consolas"/>
          <w:color w:val="19374E"/>
          <w:sz w:val="18"/>
        </w:rPr>
        <w:t>2.a</w:t>
      </w:r>
      <w:r>
        <w:t xml:space="preserve">, </w:t>
      </w:r>
      <w:r>
        <w:rPr>
          <w:rFonts w:ascii="Consolas" w:hAnsi="Consolas"/>
          <w:color w:val="19374E"/>
          <w:sz w:val="18"/>
        </w:rPr>
        <w:t>2.b</w:t>
      </w:r>
      <w:r>
        <w:t>, et apparaissent latéralement dans l’activité afin de ne pas être confondues avec la ligne principale.</w:t>
      </w:r>
    </w:p>
    <w:p>
      <w:r>
        <w:t>Une branche de rejet constitue un chemin différent. Elle peut notifier, réaffecter, appliquer des tags, déplacer en corbeille ou réaliser d’autres actions disponibles. Elle ne rejoint pas automatiquement une étape principale ultérieure sauf si le modèle de workflow le prévoit explicitement. Concevoir la fin de chaque branche sans ambiguïté.</w:t>
      </w:r>
    </w:p>
    <w:p>
      <w:pPr>
        <w:pStyle w:val="Heading3"/>
      </w:pPr>
      <w:r>
        <w:t>8.8 Activité et supervision</w:t>
      </w:r>
    </w:p>
    <w:p>
      <w:r>
        <w:t xml:space="preserve">Les superutilisateurs et utilisateurs disposant de la permission de consultation de l’activité des workflows peuvent ouvrir </w:t>
      </w:r>
      <w:r>
        <w:rPr>
          <w:b/>
        </w:rPr>
        <w:t>Activité des workflows</w:t>
      </w:r>
      <w:r>
        <w:t>. Chaque exécution affiche son document, son état et ses étapes. La flèche développe des carrés numérotés : réussite en vert, attente, rejet ou échec avec leurs couleurs respectives ; les branches restent visuellement séparées.</w:t>
      </w:r>
    </w:p>
    <w:p>
      <w:r>
        <w:t xml:space="preserve">Cliquer une étape pour consulter les heures, l’acteur, les détails, le motif de rejet et l’erreur technique éventuelle. Les commandes exposées doivent être utilisées avec prudence ; l’interface finale privilégie le suivi et l’action </w:t>
      </w:r>
      <w:r>
        <w:rPr>
          <w:b/>
        </w:rPr>
        <w:t>Ignorer</w:t>
      </w:r>
      <w:r>
        <w:t xml:space="preserve"> lorsqu’elle est autorisée, sans proposer les anciennes opérations redondantes de réaffectation/réessai.</w:t>
      </w:r>
    </w:p>
    <w:p>
      <w:r>
        <w:t>L’activité est conservée même si une branche déplace le document dans la corbeille. Les demandes de signature associées doivent également rester traçables.</w:t>
      </w:r>
    </w:p>
    <w:p>
      <w:pPr>
        <w:pStyle w:val="Heading2"/>
      </w:pPr>
      <w:r>
        <w:t>9. Historique, versions et suppression</w:t>
      </w:r>
    </w:p>
    <w:p>
      <w:r>
        <w:t>Les versions ordinaires d’un document et les copies signées sont deux ensembles distincts. Une copie signée référence précisément sa version source, mais n’est pas ajoutée à la liste des documents ordinaires.</w:t>
      </w:r>
    </w:p>
    <w:p>
      <w:r>
        <w:t>L’historique du document enregistre notamment la création de demande, l’annulation, la signature et le rejet. L’activité du workflow fournit un niveau plus détaillé pour chaque étape.</w:t>
      </w:r>
    </w:p>
    <w:p>
      <w:r>
        <w:t>Avant une suppression définitive : vérifier les copies signées, l’activité de workflow, les obligations de conservation et les sauvegardes. La corbeille est une étape de récupération ; elle ne remplace pas une politique d’archivage.</w:t>
      </w:r>
    </w:p>
    <w:p>
      <w:pPr>
        <w:pStyle w:val="Heading2"/>
      </w:pPr>
      <w:r>
        <w:t>10. Procédures de contrôle par rôle</w:t>
      </w:r>
    </w:p>
    <w:p>
      <w:pPr>
        <w:pStyle w:val="Heading3"/>
      </w:pPr>
      <w:r>
        <w:t>Administrateur</w:t>
      </w:r>
    </w:p>
    <w:p>
      <w:pPr>
        <w:pStyle w:val="ListBullet"/>
      </w:pPr>
      <w:r>
        <w:t>vérifier les groupes intégrés et personnalisés ;</w:t>
      </w:r>
    </w:p>
    <w:p>
      <w:pPr>
        <w:pStyle w:val="ListBullet"/>
      </w:pPr>
      <w:r>
        <w:t>attribuer les permissions globales minimales ;</w:t>
      </w:r>
    </w:p>
    <w:p>
      <w:pPr>
        <w:pStyle w:val="ListBullet"/>
      </w:pPr>
      <w:r>
        <w:t>tester les permissions objet avec des comptes de recette ;</w:t>
      </w:r>
    </w:p>
    <w:p>
      <w:pPr>
        <w:pStyle w:val="ListBullet"/>
      </w:pPr>
      <w:r>
        <w:t>surveiller les workflows échoués et demandes bloquées ;</w:t>
      </w:r>
    </w:p>
    <w:p>
      <w:pPr>
        <w:pStyle w:val="ListBullet"/>
      </w:pPr>
      <w:r>
        <w:t>contrôler les sauvegardes et l’espace disque ;</w:t>
      </w:r>
    </w:p>
    <w:p>
      <w:pPr>
        <w:pStyle w:val="ListBullet"/>
      </w:pPr>
      <w:r>
        <w:t>revoir régulièrement les signataires et superviseurs.</w:t>
      </w:r>
    </w:p>
    <w:p>
      <w:pPr>
        <w:pStyle w:val="Heading3"/>
      </w:pPr>
      <w:r>
        <w:t>Gestionnaire documentaire</w:t>
      </w:r>
    </w:p>
    <w:p>
      <w:pPr>
        <w:pStyle w:val="ListBullet"/>
      </w:pPr>
      <w:r>
        <w:t>contrôler l’OCR et les métadonnées ;</w:t>
      </w:r>
    </w:p>
    <w:p>
      <w:pPr>
        <w:pStyle w:val="ListBullet"/>
      </w:pPr>
      <w:r>
        <w:t>corriger les correspondances automatiques ;</w:t>
      </w:r>
    </w:p>
    <w:p>
      <w:pPr>
        <w:pStyle w:val="ListBullet"/>
      </w:pPr>
      <w:r>
        <w:t>appliquer l’armoire et la politique d’héritage ;</w:t>
      </w:r>
    </w:p>
    <w:p>
      <w:pPr>
        <w:pStyle w:val="ListBullet"/>
      </w:pPr>
      <w:r>
        <w:t>surveiller les documents sans classement ;</w:t>
      </w:r>
    </w:p>
    <w:p>
      <w:pPr>
        <w:pStyle w:val="ListBullet"/>
      </w:pPr>
      <w:r>
        <w:t>ne pas élargir les droits sans justification.</w:t>
      </w:r>
    </w:p>
    <w:p>
      <w:pPr>
        <w:pStyle w:val="Heading3"/>
      </w:pPr>
      <w:r>
        <w:t>Demandeur de signature</w:t>
      </w:r>
    </w:p>
    <w:p>
      <w:pPr>
        <w:pStyle w:val="ListBullet"/>
      </w:pPr>
      <w:r>
        <w:t>choisir la bonne version et le bon signataire ;</w:t>
      </w:r>
    </w:p>
    <w:p>
      <w:pPr>
        <w:pStyle w:val="ListBullet"/>
      </w:pPr>
      <w:r>
        <w:t>éviter les demandes inutiles ;</w:t>
      </w:r>
    </w:p>
    <w:p>
      <w:pPr>
        <w:pStyle w:val="ListBullet"/>
      </w:pPr>
      <w:r>
        <w:t>suivre l’état et annuler seulement une demande encore en attente ;</w:t>
      </w:r>
    </w:p>
    <w:p>
      <w:pPr>
        <w:pStyle w:val="ListBullet"/>
      </w:pPr>
      <w:r>
        <w:t>contrôler la copie signée et ses permissions après signature.</w:t>
      </w:r>
    </w:p>
    <w:p>
      <w:pPr>
        <w:pStyle w:val="Heading3"/>
      </w:pPr>
      <w:r>
        <w:t>Signataire</w:t>
      </w:r>
    </w:p>
    <w:p>
      <w:pPr>
        <w:pStyle w:val="ListBullet"/>
      </w:pPr>
      <w:r>
        <w:t>protéger son compte et son fichier de signature ;</w:t>
      </w:r>
    </w:p>
    <w:p>
      <w:pPr>
        <w:pStyle w:val="ListBullet"/>
      </w:pPr>
      <w:r>
        <w:t>vérifier le document et la version avant de signer ;</w:t>
      </w:r>
    </w:p>
    <w:p>
      <w:pPr>
        <w:pStyle w:val="ListBullet"/>
      </w:pPr>
      <w:r>
        <w:t>positionner la signature sans masquer le texte ;</w:t>
      </w:r>
    </w:p>
    <w:p>
      <w:pPr>
        <w:pStyle w:val="ListBullet"/>
      </w:pPr>
      <w:r>
        <w:t>motiver clairement un rejet ;</w:t>
      </w:r>
    </w:p>
    <w:p>
      <w:pPr>
        <w:pStyle w:val="ListBullet"/>
      </w:pPr>
      <w:r>
        <w:t>signaler immédiatement toute demande qui ne lui est pas destinée.</w:t>
      </w:r>
    </w:p>
    <w:p>
      <w:pPr>
        <w:pStyle w:val="Heading2"/>
      </w:pPr>
      <w:r>
        <w:t>11. Scénario de formation conseillé</w:t>
      </w:r>
    </w:p>
    <w:p>
      <w:pPr>
        <w:pStyle w:val="ListNumber"/>
      </w:pPr>
      <w:r>
        <w:t>créer deux groupes métiers, un demandeur et un signataire ;</w:t>
      </w:r>
    </w:p>
    <w:p>
      <w:pPr>
        <w:pStyle w:val="ListNumber"/>
      </w:pPr>
      <w:r>
        <w:t>créer une armoire avec droits de groupe ;</w:t>
      </w:r>
    </w:p>
    <w:p>
      <w:pPr>
        <w:pStyle w:val="ListNumber"/>
      </w:pPr>
      <w:r>
        <w:t>importer un document, vérifier l’OCR et l’affecter ;</w:t>
      </w:r>
    </w:p>
    <w:p>
      <w:pPr>
        <w:pStyle w:val="ListNumber"/>
      </w:pPr>
      <w:r>
        <w:t>démontrer l’héritage puis l’exception de permission document ;</w:t>
      </w:r>
    </w:p>
    <w:p>
      <w:pPr>
        <w:pStyle w:val="ListNumber"/>
      </w:pPr>
      <w:r>
        <w:t>demander une signature, la rejeter avec motif et consulter l’historique ;</w:t>
      </w:r>
    </w:p>
    <w:p>
      <w:pPr>
        <w:pStyle w:val="ListNumber"/>
      </w:pPr>
      <w:r>
        <w:t>refaire une demande sur une version autorisée, signer et gérer la copie ;</w:t>
      </w:r>
    </w:p>
    <w:p>
      <w:pPr>
        <w:pStyle w:val="ListNumber"/>
      </w:pPr>
      <w:r>
        <w:t>construire un workflow avec approbation, signature et affectation d’armoire ;</w:t>
      </w:r>
    </w:p>
    <w:p>
      <w:pPr>
        <w:pStyle w:val="ListNumber"/>
      </w:pPr>
      <w:r>
        <w:t>tester la branche de rejet ;</w:t>
      </w:r>
    </w:p>
    <w:p>
      <w:pPr>
        <w:pStyle w:val="ListNumber"/>
      </w:pPr>
      <w:r>
        <w:t>consulter l’activité avec un superviseur ;</w:t>
      </w:r>
    </w:p>
    <w:p>
      <w:pPr>
        <w:pStyle w:val="ListNumber"/>
      </w:pPr>
      <w:r>
        <w:t>exporter puis restaurer un jeu de test sur une instance isolée.</w:t>
      </w:r>
    </w:p>
    <w:p>
      <w:pPr>
        <w:pStyle w:val="Heading2"/>
      </w:pPr>
      <w:r>
        <w:t>12. Règles de gouvernance recommandées</w:t>
      </w:r>
    </w:p>
    <w:p>
      <w:pPr>
        <w:pStyle w:val="ListBullet"/>
      </w:pPr>
      <w:r>
        <w:t>convention de nommage des armoires, tags et workflows ;</w:t>
      </w:r>
    </w:p>
    <w:p>
      <w:pPr>
        <w:pStyle w:val="ListBullet"/>
      </w:pPr>
      <w:r>
        <w:t>propriétaire fonctionnel pour chaque workflow ;</w:t>
      </w:r>
    </w:p>
    <w:p>
      <w:pPr>
        <w:pStyle w:val="ListBullet"/>
      </w:pPr>
      <w:r>
        <w:t>revue trimestrielle des permissions et groupes ;</w:t>
      </w:r>
    </w:p>
    <w:p>
      <w:pPr>
        <w:pStyle w:val="ListBullet"/>
      </w:pPr>
      <w:r>
        <w:t>interdiction de comptes partagés ;</w:t>
      </w:r>
    </w:p>
    <w:p>
      <w:pPr>
        <w:pStyle w:val="ListBullet"/>
      </w:pPr>
      <w:r>
        <w:t>durée de conservation des documents et copies signées ;</w:t>
      </w:r>
    </w:p>
    <w:p>
      <w:pPr>
        <w:pStyle w:val="ListBullet"/>
      </w:pPr>
      <w:r>
        <w:t>processus de révocation des signataires ;</w:t>
      </w:r>
    </w:p>
    <w:p>
      <w:pPr>
        <w:pStyle w:val="ListBullet"/>
      </w:pPr>
      <w:r>
        <w:t>validation à quatre yeux des workflows qui suppriment ou déplacent des documents ;</w:t>
      </w:r>
    </w:p>
    <w:p>
      <w:pPr>
        <w:pStyle w:val="ListBullet"/>
      </w:pPr>
      <w:r>
        <w:t>recette après chaque mise à jour ;</w:t>
      </w:r>
    </w:p>
    <w:p>
      <w:pPr>
        <w:pStyle w:val="ListBullet"/>
      </w:pPr>
      <w:r>
        <w:t>documentation des écarts entre signature visuelle et signature réglementaire.</w:t>
      </w:r>
    </w:p>
    <w:p>
      <w:r>
        <w:br w:type="page"/>
      </w:r>
    </w:p>
    <w:p>
      <w:pPr>
        <w:pStyle w:val="Heading1"/>
      </w:pPr>
      <w:r>
        <w:t>Partie III — Intégration optionnelle des fonctions IA</w:t>
      </w:r>
    </w:p>
    <w:p>
      <w:pPr>
        <w:pStyle w:val="Heading2"/>
      </w:pPr>
      <w:r>
        <w:t>1. Séparation des responsabilités</w:t>
      </w:r>
    </w:p>
    <w:p>
      <w:r>
        <w:t xml:space="preserve">Cette section est volontairement séparée du fonctionnement principal. GED-SARTEX/Paperless-ngx fonctionne sans IA. Le stack </w:t>
      </w:r>
      <w:r>
        <w:rPr>
          <w:rFonts w:ascii="Consolas" w:hAnsi="Consolas"/>
          <w:color w:val="19374E"/>
          <w:sz w:val="18"/>
        </w:rPr>
        <w:t>paperless-stack</w:t>
      </w:r>
      <w:r>
        <w:t xml:space="preserve"> ajoute des services externes qui utilisent l’API Paperless :</w:t>
      </w:r>
    </w:p>
    <w:p>
      <w:pPr>
        <w:pStyle w:val="ListBullet"/>
      </w:pPr>
      <w:r>
        <w:rPr>
          <w:b/>
        </w:rPr>
        <w:t>Ollama</w:t>
      </w:r>
      <w:r>
        <w:t xml:space="preserve"> exécute les modèles localement ;</w:t>
      </w:r>
    </w:p>
    <w:p>
      <w:pPr>
        <w:pStyle w:val="ListBullet"/>
      </w:pPr>
      <w:r>
        <w:rPr>
          <w:b/>
        </w:rPr>
        <w:t>Open WebUI</w:t>
      </w:r>
      <w:r>
        <w:t xml:space="preserve"> permet de gérer et tester les modèles ;</w:t>
      </w:r>
    </w:p>
    <w:p>
      <w:pPr>
        <w:pStyle w:val="ListBullet"/>
      </w:pPr>
      <w:r>
        <w:rPr>
          <w:b/>
        </w:rPr>
        <w:t>Paperless-AI</w:t>
      </w:r>
      <w:r>
        <w:t xml:space="preserve"> suggère ou applique des métadonnées ;</w:t>
      </w:r>
    </w:p>
    <w:p>
      <w:pPr>
        <w:pStyle w:val="ListBullet"/>
      </w:pPr>
      <w:r>
        <w:rPr>
          <w:b/>
        </w:rPr>
        <w:t>Paperless-GPT</w:t>
      </w:r>
      <w:r>
        <w:t xml:space="preserve"> améliore l’OCR par vision et peut suggérer des métadonnées ;</w:t>
      </w:r>
    </w:p>
    <w:p>
      <w:pPr>
        <w:pStyle w:val="ListBullet"/>
      </w:pPr>
      <w:r>
        <w:rPr>
          <w:b/>
        </w:rPr>
        <w:t>Dozzle</w:t>
      </w:r>
      <w:r>
        <w:t xml:space="preserve"> affiche les journaux Docker.</w:t>
      </w:r>
    </w:p>
    <w:p>
      <w:r>
        <w:t>Flux : document → GED-SARTEX/Paperless-ngx → OCR/index ; puis, facultativement, Paperless-AI/Paperless-GPT consultent l’API, appellent Ollama et écrivent des résultats dans Paperless.</w:t>
      </w:r>
    </w:p>
    <w:p>
      <w:pPr>
        <w:pStyle w:val="Heading2"/>
      </w:pPr>
      <w:r>
        <w:t>2. Point essentiel pour utiliser la version GED-SARTEX</w:t>
      </w:r>
    </w:p>
    <w:p>
      <w:r>
        <w:t xml:space="preserve">Le dépôt </w:t>
      </w:r>
      <w:r>
        <w:rPr>
          <w:rFonts w:ascii="Consolas" w:hAnsi="Consolas"/>
          <w:color w:val="19374E"/>
          <w:sz w:val="18"/>
        </w:rPr>
        <w:t>timothystewart6/paperless-stack</w:t>
      </w:r>
      <w:r>
        <w:t xml:space="preserve"> référence l’image officielle :</w:t>
      </w:r>
    </w:p>
    <w:p>
      <w:pPr>
        <w:pStyle w:val="Code"/>
        <w:keepLines/>
        <w:shd w:fill="F4F6F8"/>
      </w:pPr>
      <w:r>
        <w:t>image: ghcr.io/paperless-ngx/paperless-ngx:latest</w:t>
      </w:r>
    </w:p>
    <w:p>
      <w:r>
        <w:t>Cette ligne n’inclut pas les armoires, signatures et workflows GED-SARTEX. Il faut la remplacer par une image issue de ce dépôt.</w:t>
      </w:r>
    </w:p>
    <w:p>
      <w:pPr>
        <w:pStyle w:val="Heading3"/>
      </w:pPr>
      <w:r>
        <w:t>Option A — construire GED-SARTEX dans le stack</w:t>
      </w:r>
    </w:p>
    <w:p>
      <w:r>
        <w:t>Placer les dépôts côte à côte :</w:t>
      </w:r>
    </w:p>
    <w:p>
      <w:pPr>
        <w:pStyle w:val="Code"/>
        <w:keepLines/>
        <w:shd w:fill="F4F6F8"/>
      </w:pPr>
      <w:r>
        <w:t>livraison/</w:t>
        <w:br/>
        <w:t>├── GED-SARTEX/</w:t>
        <w:br/>
        <w:t>└── paperless-stack/</w:t>
      </w:r>
    </w:p>
    <w:p>
      <w:r>
        <w:t xml:space="preserve">Dans le service Paperless du </w:t>
      </w:r>
      <w:r>
        <w:rPr>
          <w:rFonts w:ascii="Consolas" w:hAnsi="Consolas"/>
          <w:color w:val="19374E"/>
          <w:sz w:val="18"/>
        </w:rPr>
        <w:t>compose.yaml</w:t>
      </w:r>
      <w:r>
        <w:t xml:space="preserve"> du stack :</w:t>
      </w:r>
    </w:p>
    <w:p>
      <w:pPr>
        <w:pStyle w:val="Code"/>
        <w:keepLines/>
        <w:shd w:fill="F4F6F8"/>
      </w:pPr>
      <w:r>
        <w:t>paperless:</w:t>
        <w:br/>
        <w:t xml:space="preserve">  image: ged-sartex/paperless-ngx:local</w:t>
        <w:br/>
        <w:t xml:space="preserve">  build:</w:t>
        <w:br/>
        <w:t xml:space="preserve">    context: ../GED-SARTEX</w:t>
        <w:br/>
        <w:t xml:space="preserve">    dockerfile: Dockerfile</w:t>
      </w:r>
    </w:p>
    <w:p>
      <w:r>
        <w:t xml:space="preserve">Conserver les volumes, ports, </w:t>
      </w:r>
      <w:r>
        <w:rPr>
          <w:rFonts w:ascii="Consolas" w:hAnsi="Consolas"/>
          <w:color w:val="19374E"/>
          <w:sz w:val="18"/>
        </w:rPr>
        <w:t>env_file</w:t>
      </w:r>
      <w:r>
        <w:t xml:space="preserve">, </w:t>
      </w:r>
      <w:r>
        <w:rPr>
          <w:rFonts w:ascii="Consolas" w:hAnsi="Consolas"/>
          <w:color w:val="19374E"/>
          <w:sz w:val="18"/>
        </w:rPr>
        <w:t>depends_on</w:t>
      </w:r>
      <w:r>
        <w:t xml:space="preserve"> et réseaux du stack. Puis :</w:t>
      </w:r>
    </w:p>
    <w:p>
      <w:pPr>
        <w:pStyle w:val="Code"/>
        <w:keepLines/>
        <w:shd w:fill="F4F6F8"/>
      </w:pPr>
      <w:r>
        <w:t>cd paperless-stack</w:t>
        <w:br/>
        <w:t>docker compose build paperless</w:t>
        <w:br/>
        <w:t>docker compose up -d</w:t>
      </w:r>
    </w:p>
    <w:p>
      <w:pPr>
        <w:pStyle w:val="Heading3"/>
      </w:pPr>
      <w:r>
        <w:t>Option B — utiliser une image publiée</w:t>
      </w:r>
    </w:p>
    <w:p>
      <w:r>
        <w:t>Construire et publier une version immuable :</w:t>
      </w:r>
    </w:p>
    <w:p>
      <w:pPr>
        <w:pStyle w:val="Code"/>
        <w:keepLines/>
        <w:shd w:fill="F4F6F8"/>
      </w:pPr>
      <w:r>
        <w:t>cd GED-SARTEX</w:t>
        <w:br/>
        <w:t>docker build -t ghcr.io/&lt;organisation&gt;/ged-sartex:1.0.0 .</w:t>
        <w:br/>
        <w:t>docker push ghcr.io/&lt;organisation&gt;/ged-sartex:1.0.0</w:t>
      </w:r>
    </w:p>
    <w:p>
      <w:r>
        <w:t>Puis remplacer l’image du service Paperless :</w:t>
      </w:r>
    </w:p>
    <w:p>
      <w:pPr>
        <w:pStyle w:val="Code"/>
        <w:keepLines/>
        <w:shd w:fill="F4F6F8"/>
      </w:pPr>
      <w:r>
        <w:t>paperless:</w:t>
        <w:br/>
        <w:t xml:space="preserve">  image: ghcr.io/&lt;organisation&gt;/ged-sartex:1.0.0</w:t>
      </w:r>
    </w:p>
    <w:p>
      <w:r>
        <w:t xml:space="preserve">Ne pas utiliser </w:t>
      </w:r>
      <w:r>
        <w:rPr>
          <w:rFonts w:ascii="Consolas" w:hAnsi="Consolas"/>
          <w:color w:val="19374E"/>
          <w:sz w:val="18"/>
        </w:rPr>
        <w:t>latest</w:t>
      </w:r>
      <w:r>
        <w:t xml:space="preserve"> en production. Si l’image GHCR est privée, effectuer </w:t>
      </w:r>
      <w:r>
        <w:rPr>
          <w:rFonts w:ascii="Consolas" w:hAnsi="Consolas"/>
          <w:color w:val="19374E"/>
          <w:sz w:val="18"/>
        </w:rPr>
        <w:t>docker login ghcr.io</w:t>
      </w:r>
      <w:r>
        <w:t xml:space="preserve"> avec un jeton disposant de </w:t>
      </w:r>
      <w:r>
        <w:rPr>
          <w:rFonts w:ascii="Consolas" w:hAnsi="Consolas"/>
          <w:color w:val="19374E"/>
          <w:sz w:val="18"/>
        </w:rPr>
        <w:t>read:packages</w:t>
      </w:r>
      <w:r>
        <w:t>.</w:t>
      </w:r>
    </w:p>
    <w:p>
      <w:pPr>
        <w:pStyle w:val="Heading2"/>
      </w:pPr>
      <w:r>
        <w:t>3. Prérequis matériels</w:t>
      </w:r>
    </w:p>
    <w:p>
      <w:r>
        <w:t>Le socle Paperless fonctionne sur un serveur modeste. Les modèles locaux changent fortement les besoins :</w:t>
      </w:r>
    </w:p>
    <w:p>
      <w:pPr>
        <w:pStyle w:val="ListBullet"/>
      </w:pPr>
      <w:r>
        <w:t>modèle texte léger : plusieurs Go de RAM ;</w:t>
      </w:r>
    </w:p>
    <w:p>
      <w:pPr>
        <w:pStyle w:val="ListBullet"/>
      </w:pPr>
      <w:r>
        <w:t>modèle vision : davantage de RAM/VRAM et temps de traitement ;</w:t>
      </w:r>
    </w:p>
    <w:p>
      <w:pPr>
        <w:pStyle w:val="ListBullet"/>
      </w:pPr>
      <w:r>
        <w:t>GPU NVIDIA : pilotes et NVIDIA Container Toolkit ;</w:t>
      </w:r>
    </w:p>
    <w:p>
      <w:pPr>
        <w:pStyle w:val="ListBullet"/>
      </w:pPr>
      <w:r>
        <w:t>sans GPU : fonctionnement possible mais souvent beaucoup plus lent.</w:t>
      </w:r>
    </w:p>
    <w:p>
      <w:r>
        <w:t>Dimensionner après un test représentatif. Ne pas activer automatiquement l’IA sur tout l’historique avant d’avoir mesuré le débit, les erreurs et la qualité.</w:t>
      </w:r>
    </w:p>
    <w:p>
      <w:pPr>
        <w:pStyle w:val="Heading2"/>
      </w:pPr>
      <w:r>
        <w:t>4. Installation du stack IA</w:t>
      </w:r>
    </w:p>
    <w:p>
      <w:pPr>
        <w:pStyle w:val="Code"/>
        <w:keepLines/>
        <w:shd w:fill="F4F6F8"/>
      </w:pPr>
      <w:r>
        <w:t>git clone https://github.com/timothystewart6/paperless-stack.git</w:t>
        <w:br/>
        <w:t>cd paperless-stack</w:t>
      </w:r>
    </w:p>
    <w:p>
      <w:r>
        <w:t xml:space="preserve">Lire le README et le guide Techno Tim correspondant à la version récupérée. Modifier les mots de passe et secrets dans chaque fichier </w:t>
      </w:r>
      <w:r>
        <w:rPr>
          <w:rFonts w:ascii="Consolas" w:hAnsi="Consolas"/>
          <w:color w:val="19374E"/>
          <w:sz w:val="18"/>
        </w:rPr>
        <w:t>.env</w:t>
      </w:r>
      <w:r>
        <w:t xml:space="preserve">, notamment </w:t>
      </w:r>
      <w:r>
        <w:rPr>
          <w:rFonts w:ascii="Consolas" w:hAnsi="Consolas"/>
          <w:color w:val="19374E"/>
          <w:sz w:val="18"/>
        </w:rPr>
        <w:t>paperless/.env</w:t>
      </w:r>
      <w:r>
        <w:t xml:space="preserve"> et </w:t>
      </w:r>
      <w:r>
        <w:rPr>
          <w:rFonts w:ascii="Consolas" w:hAnsi="Consolas"/>
          <w:color w:val="19374E"/>
          <w:sz w:val="18"/>
        </w:rPr>
        <w:t>postgres/.env</w:t>
      </w:r>
      <w:r>
        <w:t>. Les identifiants PostgreSQL doivent correspondre des deux côtés.</w:t>
      </w:r>
    </w:p>
    <w:p>
      <w:r>
        <w:t>Avant le démarrage, intégrer l’image GED-SARTEX comme décrit plus haut. Ensuite :</w:t>
      </w:r>
    </w:p>
    <w:p>
      <w:pPr>
        <w:pStyle w:val="Code"/>
        <w:keepLines/>
        <w:shd w:fill="F4F6F8"/>
      </w:pPr>
      <w:r>
        <w:t>docker compose config</w:t>
        <w:br/>
        <w:t>docker compose up -d</w:t>
        <w:br/>
        <w:t>docker compose ps</w:t>
      </w:r>
    </w:p>
    <w:p>
      <w:r>
        <w:t>Accès annoncés par le stack de référence :</w:t>
      </w:r>
    </w:p>
    <w:p>
      <w:pPr>
        <w:pStyle w:val="ListBullet"/>
      </w:pPr>
      <w:r>
        <w:t xml:space="preserve">GED-SARTEX/Paperless : </w:t>
      </w:r>
      <w:r>
        <w:rPr>
          <w:rFonts w:ascii="Consolas" w:hAnsi="Consolas"/>
          <w:color w:val="19374E"/>
          <w:sz w:val="18"/>
        </w:rPr>
        <w:t>http://&lt;serveur&gt;:8000</w:t>
      </w:r>
      <w:r>
        <w:t xml:space="preserve"> ;</w:t>
      </w:r>
    </w:p>
    <w:p>
      <w:pPr>
        <w:pStyle w:val="ListBullet"/>
      </w:pPr>
      <w:r>
        <w:t xml:space="preserve">Paperless-AI : </w:t>
      </w:r>
      <w:r>
        <w:rPr>
          <w:rFonts w:ascii="Consolas" w:hAnsi="Consolas"/>
          <w:color w:val="19374E"/>
          <w:sz w:val="18"/>
        </w:rPr>
        <w:t>http://&lt;serveur&gt;:3000</w:t>
      </w:r>
      <w:r>
        <w:t xml:space="preserve"> ;</w:t>
      </w:r>
    </w:p>
    <w:p>
      <w:pPr>
        <w:pStyle w:val="ListBullet"/>
      </w:pPr>
      <w:r>
        <w:t xml:space="preserve">Open WebUI : </w:t>
      </w:r>
      <w:r>
        <w:rPr>
          <w:rFonts w:ascii="Consolas" w:hAnsi="Consolas"/>
          <w:color w:val="19374E"/>
          <w:sz w:val="18"/>
        </w:rPr>
        <w:t>http://&lt;serveur&gt;:3001</w:t>
      </w:r>
      <w:r>
        <w:t xml:space="preserve"> ;</w:t>
      </w:r>
    </w:p>
    <w:p>
      <w:pPr>
        <w:pStyle w:val="ListBullet"/>
      </w:pPr>
      <w:r>
        <w:t xml:space="preserve">Paperless-GPT : </w:t>
      </w:r>
      <w:r>
        <w:rPr>
          <w:rFonts w:ascii="Consolas" w:hAnsi="Consolas"/>
          <w:color w:val="19374E"/>
          <w:sz w:val="18"/>
        </w:rPr>
        <w:t>http://&lt;serveur&gt;:3002</w:t>
      </w:r>
      <w:r>
        <w:t xml:space="preserve"> ;</w:t>
      </w:r>
    </w:p>
    <w:p>
      <w:pPr>
        <w:pStyle w:val="ListBullet"/>
      </w:pPr>
      <w:r>
        <w:t xml:space="preserve">Dozzle : </w:t>
      </w:r>
      <w:r>
        <w:rPr>
          <w:rFonts w:ascii="Consolas" w:hAnsi="Consolas"/>
          <w:color w:val="19374E"/>
          <w:sz w:val="18"/>
        </w:rPr>
        <w:t>http://&lt;serveur&gt;:8080</w:t>
      </w:r>
      <w:r>
        <w:t>.</w:t>
      </w:r>
    </w:p>
    <w:p>
      <w:r>
        <w:t>Ne pas exposer ces ports directement sur Internet. Utiliser VPN, pare-feu et reverse proxy HTTPS.</w:t>
      </w:r>
    </w:p>
    <w:p>
      <w:pPr>
        <w:pStyle w:val="Heading2"/>
      </w:pPr>
      <w:r>
        <w:t>5. Modèles Ollama</w:t>
      </w:r>
    </w:p>
    <w:p>
      <w:r>
        <w:t xml:space="preserve">Le stack de référence propose notamment </w:t>
      </w:r>
      <w:r>
        <w:rPr>
          <w:rFonts w:ascii="Consolas" w:hAnsi="Consolas"/>
          <w:color w:val="19374E"/>
          <w:sz w:val="18"/>
        </w:rPr>
        <w:t>llama3.2:3b</w:t>
      </w:r>
      <w:r>
        <w:t xml:space="preserve"> pour les suggestions/raisonnement et </w:t>
      </w:r>
      <w:r>
        <w:rPr>
          <w:rFonts w:ascii="Consolas" w:hAnsi="Consolas"/>
          <w:color w:val="19374E"/>
          <w:sz w:val="18"/>
        </w:rPr>
        <w:t>minicpm-v:8b</w:t>
      </w:r>
      <w:r>
        <w:t xml:space="preserve"> pour la vision. Les noms doivent correspondre exactement aux variables des fichiers </w:t>
      </w:r>
      <w:r>
        <w:rPr>
          <w:rFonts w:ascii="Consolas" w:hAnsi="Consolas"/>
          <w:color w:val="19374E"/>
          <w:sz w:val="18"/>
        </w:rPr>
        <w:t>.env</w:t>
      </w:r>
      <w:r>
        <w:t xml:space="preserve"> de Paperless-AI et Paperless-GPT.</w:t>
      </w:r>
    </w:p>
    <w:p>
      <w:r>
        <w:t>Télécharger depuis le conteneur ou Open WebUI selon le stack :</w:t>
      </w:r>
    </w:p>
    <w:p>
      <w:pPr>
        <w:pStyle w:val="Code"/>
        <w:keepLines/>
        <w:shd w:fill="F4F6F8"/>
      </w:pPr>
      <w:r>
        <w:t>docker compose exec ollama ollama pull llama3.2:3b</w:t>
        <w:br/>
        <w:t>docker compose exec ollama ollama pull minicpm-v:8b</w:t>
        <w:br/>
        <w:t>docker compose exec ollama ollama list</w:t>
      </w:r>
    </w:p>
    <w:p>
      <w:r>
        <w:t>Les modèles évoluent. Valider la licence, la langue française, la mémoire requise et la qualité avant de changer de modèle.</w:t>
      </w:r>
    </w:p>
    <w:p>
      <w:pPr>
        <w:pStyle w:val="Heading2"/>
      </w:pPr>
      <w:r>
        <w:t>6. Jeton API Paperless</w:t>
      </w:r>
    </w:p>
    <w:p>
      <w:r>
        <w:t>Dans GED-SARTEX/Paperless, ouvrir le profil puis générer un jeton API pour un compte de service dédié. Copier ce jeton dans les configurations de Paperless-AI et Paperless-GPT, ainsi que l’URL interne du service Paperless.</w:t>
      </w:r>
    </w:p>
    <w:p>
      <w:r>
        <w:t>Bonnes pratiques :</w:t>
      </w:r>
    </w:p>
    <w:p>
      <w:pPr>
        <w:pStyle w:val="ListBullet"/>
      </w:pPr>
      <w:r>
        <w:t>ne pas utiliser le compte superutilisateur ;</w:t>
      </w:r>
    </w:p>
    <w:p>
      <w:pPr>
        <w:pStyle w:val="ListBullet"/>
      </w:pPr>
      <w:r>
        <w:t>créer un compte de service par intégration si possible ;</w:t>
      </w:r>
    </w:p>
    <w:p>
      <w:pPr>
        <w:pStyle w:val="ListBullet"/>
      </w:pPr>
      <w:r>
        <w:t>accorder uniquement les permissions nécessaires ;</w:t>
      </w:r>
    </w:p>
    <w:p>
      <w:pPr>
        <w:pStyle w:val="ListBullet"/>
      </w:pPr>
      <w:r>
        <w:t xml:space="preserve">protéger les fichiers </w:t>
      </w:r>
      <w:r>
        <w:rPr>
          <w:rFonts w:ascii="Consolas" w:hAnsi="Consolas"/>
          <w:color w:val="19374E"/>
          <w:sz w:val="18"/>
        </w:rPr>
        <w:t>.env</w:t>
      </w:r>
      <w:r>
        <w:t xml:space="preserve"> ;</w:t>
      </w:r>
    </w:p>
    <w:p>
      <w:pPr>
        <w:pStyle w:val="ListBullet"/>
      </w:pPr>
      <w:r>
        <w:t>faire tourner le jeton après exposition ou départ d’un administrateur ;</w:t>
      </w:r>
    </w:p>
    <w:p>
      <w:pPr>
        <w:pStyle w:val="ListBullet"/>
      </w:pPr>
      <w:r>
        <w:t>vérifier que les réponses IA ne contournent pas les permissions de documents.</w:t>
      </w:r>
    </w:p>
    <w:p>
      <w:r>
        <w:t>Après modification :</w:t>
      </w:r>
    </w:p>
    <w:p>
      <w:pPr>
        <w:pStyle w:val="Code"/>
        <w:keepLines/>
        <w:shd w:fill="F4F6F8"/>
      </w:pPr>
      <w:r>
        <w:t>docker compose up -d --force-recreate paperless-ai paperless-gpt</w:t>
        <w:br/>
        <w:t>docker compose logs -f paperless-ai paperless-gpt</w:t>
      </w:r>
    </w:p>
    <w:p>
      <w:pPr>
        <w:pStyle w:val="Heading2"/>
      </w:pPr>
      <w:r>
        <w:t>7. Interaction avec les fonctions GED-SARTEX</w:t>
      </w:r>
    </w:p>
    <w:p>
      <w:r>
        <w:t xml:space="preserve">Paperless-AI et Paperless-GPT ont été conçus pour l’API Paperless-ngx standard. Ils peuvent généralement proposer titres, correspondants, types et tags. Les </w:t>
      </w:r>
      <w:r>
        <w:rPr>
          <w:b/>
        </w:rPr>
        <w:t>armoires GED-SARTEX</w:t>
      </w:r>
      <w:r>
        <w:t xml:space="preserve"> sont une extension : elles ne seront pas automatiquement comprises par ces projets tant que leur code ne prend pas en charge le champ/API d’armoire.</w:t>
      </w:r>
    </w:p>
    <w:p>
      <w:r>
        <w:t>Approche recommandée :</w:t>
      </w:r>
    </w:p>
    <w:p>
      <w:pPr>
        <w:pStyle w:val="ListNumber"/>
      </w:pPr>
      <w:r>
        <w:t>laisser l’IA appliquer des tags/correspondants/types compatibles ;</w:t>
      </w:r>
    </w:p>
    <w:p>
      <w:pPr>
        <w:pStyle w:val="ListNumber"/>
      </w:pPr>
      <w:r>
        <w:t>utiliser ensuite les algorithmes de correspondance d’armoires ou un workflow GED-SARTEX pour classer le document ;</w:t>
      </w:r>
    </w:p>
    <w:p>
      <w:pPr>
        <w:pStyle w:val="ListNumber"/>
      </w:pPr>
      <w:r>
        <w:t xml:space="preserve">si une intégration directe est souhaitée, adapter le connecteur IA pour lire la liste des armoires et écrire l’identifiant </w:t>
      </w:r>
      <w:r>
        <w:rPr>
          <w:rFonts w:ascii="Consolas" w:hAnsi="Consolas"/>
          <w:color w:val="19374E"/>
          <w:sz w:val="18"/>
        </w:rPr>
        <w:t>cabinet</w:t>
      </w:r>
      <w:r>
        <w:t xml:space="preserve"> via l’API GED-SARTEX ;</w:t>
      </w:r>
    </w:p>
    <w:p>
      <w:pPr>
        <w:pStyle w:val="ListNumber"/>
      </w:pPr>
      <w:r>
        <w:t>ajouter des tests garantissant qu’aucune armoire inaccessible n’est révélée au compte de service.</w:t>
      </w:r>
    </w:p>
    <w:p>
      <w:r>
        <w:t>Les demandes de signature et approbations ne doivent pas être décidées automatiquement par une IA. L’IA peut assister le classement, mais l’acteur humain reste responsable des décisions et signatures.</w:t>
      </w:r>
    </w:p>
    <w:p>
      <w:pPr>
        <w:pStyle w:val="Heading2"/>
      </w:pPr>
      <w:r>
        <w:t>8. Remplacer le Paperless officiel du stack</w:t>
      </w:r>
    </w:p>
    <w:p>
      <w:r>
        <w:t xml:space="preserve">Le plan initial consistait à développer les fonctions dans Paperless-ngx puis à remplacer le composant Paperless du stack. Techniquement, le stack n’embarque pas le code Paperless dans les services IA : il orchestre une image Paperless et des services séparés. Le remplacement correct est donc limité au service </w:t>
      </w:r>
      <w:r>
        <w:rPr>
          <w:rFonts w:ascii="Consolas" w:hAnsi="Consolas"/>
          <w:color w:val="19374E"/>
          <w:sz w:val="18"/>
        </w:rPr>
        <w:t>paperless</w:t>
      </w:r>
      <w:r>
        <w:t>/</w:t>
      </w:r>
      <w:r>
        <w:rPr>
          <w:rFonts w:ascii="Consolas" w:hAnsi="Consolas"/>
          <w:color w:val="19374E"/>
          <w:sz w:val="18"/>
        </w:rPr>
        <w:t>webserver</w:t>
      </w:r>
      <w:r>
        <w:t xml:space="preserve"> :</w:t>
      </w:r>
    </w:p>
    <w:p>
      <w:pPr>
        <w:pStyle w:val="ListBullet"/>
      </w:pPr>
      <w:r>
        <w:t>conserver PostgreSQL, Redis, Gotenberg, Tika, Ollama, Open WebUI, Paperless-AI, Paperless-GPT et Dozzle ;</w:t>
      </w:r>
    </w:p>
    <w:p>
      <w:pPr>
        <w:pStyle w:val="ListBullet"/>
      </w:pPr>
      <w:r>
        <w:t>substituer seulement l’image officielle Paperless par l’image GED-SARTEX ;</w:t>
      </w:r>
    </w:p>
    <w:p>
      <w:pPr>
        <w:pStyle w:val="ListBullet"/>
      </w:pPr>
      <w:r>
        <w:t>conserver les mêmes volumes de données et variables de connexion ;</w:t>
      </w:r>
    </w:p>
    <w:p>
      <w:pPr>
        <w:pStyle w:val="ListBullet"/>
      </w:pPr>
      <w:r>
        <w:t>appliquer les migrations GED-SARTEX au premier démarrage ;</w:t>
      </w:r>
    </w:p>
    <w:p>
      <w:pPr>
        <w:pStyle w:val="ListBullet"/>
      </w:pPr>
      <w:r>
        <w:t>régénérer les jetons API si l’instance est neuve ;</w:t>
      </w:r>
    </w:p>
    <w:p>
      <w:pPr>
        <w:pStyle w:val="ListBullet"/>
      </w:pPr>
      <w:r>
        <w:t>réaliser une recette complète des fonctions GED-SARTEX et IA.</w:t>
      </w:r>
    </w:p>
    <w:p>
      <w:r>
        <w:t>Ne pas copier le dossier source dans le conteneur officiel en cours d’exécution. Une image reconstruite est nécessaire car le frontend Angular et les dépendances backend doivent être compilés ensemble.</w:t>
      </w:r>
    </w:p>
    <w:p>
      <w:pPr>
        <w:pStyle w:val="Heading2"/>
      </w:pPr>
      <w:r>
        <w:t>9. Sécurité et confidentialité de l’IA</w:t>
      </w:r>
    </w:p>
    <w:p>
      <w:r>
        <w:t>Même locale, l’IA augmente la surface d’attaque et traite potentiellement le contenu complet des documents. Avant activation :</w:t>
      </w:r>
    </w:p>
    <w:p>
      <w:pPr>
        <w:pStyle w:val="ListBullet"/>
      </w:pPr>
      <w:r>
        <w:t>confirmer que les modèles et images ne contactent aucun service cloud non prévu ;</w:t>
      </w:r>
    </w:p>
    <w:p>
      <w:pPr>
        <w:pStyle w:val="ListBullet"/>
      </w:pPr>
      <w:r>
        <w:t>isoler le réseau Docker et ne publier que les ports nécessaires ;</w:t>
      </w:r>
    </w:p>
    <w:p>
      <w:pPr>
        <w:pStyle w:val="ListBullet"/>
      </w:pPr>
      <w:r>
        <w:t>protéger Open WebUI et Dozzle ;</w:t>
      </w:r>
    </w:p>
    <w:p>
      <w:pPr>
        <w:pStyle w:val="ListBullet"/>
      </w:pPr>
      <w:r>
        <w:t>limiter le compte API aux documents autorisés ;</w:t>
      </w:r>
    </w:p>
    <w:p>
      <w:pPr>
        <w:pStyle w:val="ListBullet"/>
      </w:pPr>
      <w:r>
        <w:t>journaliser les modifications automatiques ;</w:t>
      </w:r>
    </w:p>
    <w:p>
      <w:pPr>
        <w:pStyle w:val="ListBullet"/>
      </w:pPr>
      <w:r>
        <w:t>exiger une validation humaine pour les métadonnées critiques ;</w:t>
      </w:r>
    </w:p>
    <w:p>
      <w:pPr>
        <w:pStyle w:val="ListBullet"/>
      </w:pPr>
      <w:r>
        <w:t>définir la politique de conservation des prompts, caches et journaux ;</w:t>
      </w:r>
    </w:p>
    <w:p>
      <w:pPr>
        <w:pStyle w:val="ListBullet"/>
      </w:pPr>
      <w:r>
        <w:t>inclure les volumes Ollama/Open WebUI/Paperless-AI/Paperless-GPT dans l’analyse de sauvegarde et de confidentialité.</w:t>
      </w:r>
    </w:p>
    <w:p>
      <w:r>
        <w:t>Une hallucination peut produire un mauvais titre, tag, correspondant ou classement. L’IA ne doit pas être considérée comme une source fiable sans contrôle.</w:t>
      </w:r>
    </w:p>
    <w:p>
      <w:pPr>
        <w:pStyle w:val="Heading2"/>
      </w:pPr>
      <w:r>
        <w:t>10. Désactiver l’IA</w:t>
      </w:r>
    </w:p>
    <w:p>
      <w:r>
        <w:t xml:space="preserve">Le socle GED-SARTEX reste autonome. Pour retirer l’IA, arrêter et supprimer du Compose les services </w:t>
      </w:r>
      <w:r>
        <w:rPr>
          <w:rFonts w:ascii="Consolas" w:hAnsi="Consolas"/>
          <w:color w:val="19374E"/>
          <w:sz w:val="18"/>
        </w:rPr>
        <w:t>open-webui</w:t>
      </w:r>
      <w:r>
        <w:t xml:space="preserve">, </w:t>
      </w:r>
      <w:r>
        <w:rPr>
          <w:rFonts w:ascii="Consolas" w:hAnsi="Consolas"/>
          <w:color w:val="19374E"/>
          <w:sz w:val="18"/>
        </w:rPr>
        <w:t>ollama</w:t>
      </w:r>
      <w:r>
        <w:t xml:space="preserve">, </w:t>
      </w:r>
      <w:r>
        <w:rPr>
          <w:rFonts w:ascii="Consolas" w:hAnsi="Consolas"/>
          <w:color w:val="19374E"/>
          <w:sz w:val="18"/>
        </w:rPr>
        <w:t>paperless-ai</w:t>
      </w:r>
      <w:r>
        <w:t xml:space="preserve"> et </w:t>
      </w:r>
      <w:r>
        <w:rPr>
          <w:rFonts w:ascii="Consolas" w:hAnsi="Consolas"/>
          <w:color w:val="19374E"/>
          <w:sz w:val="18"/>
        </w:rPr>
        <w:t>paperless-gpt</w:t>
      </w:r>
      <w:r>
        <w:t>, puis supprimer leurs dépendances. Conserver Paperless, PostgreSQL, Redis/Valkey, Gotenberg et Tika.</w:t>
      </w:r>
    </w:p>
    <w:p>
      <w:pPr>
        <w:pStyle w:val="Code"/>
        <w:keepLines/>
        <w:shd w:fill="F4F6F8"/>
      </w:pPr>
      <w:r>
        <w:t>docker compose stop paperless-ai paperless-gpt open-webui ollama</w:t>
      </w:r>
    </w:p>
    <w:p>
      <w:r>
        <w:t>Ne supprimer les volumes IA qu’après sauvegarde et validation, car cette opération est irréversible.</w:t>
      </w:r>
    </w:p>
    <w:p>
      <w:pPr>
        <w:pStyle w:val="Heading2"/>
      </w:pPr>
      <w:r>
        <w:t>11. Recette IA</w:t>
      </w:r>
    </w:p>
    <w:p>
      <w:pPr>
        <w:pStyle w:val="ListNumber"/>
      </w:pPr>
      <w:r>
        <w:t>confirmer que GED-SARTEX affiche ses armoires, signatures et workflows ;</w:t>
      </w:r>
    </w:p>
    <w:p>
      <w:pPr>
        <w:pStyle w:val="ListNumber"/>
      </w:pPr>
      <w:r>
        <w:t xml:space="preserve">vérifier les modèles avec </w:t>
      </w:r>
      <w:r>
        <w:rPr>
          <w:rFonts w:ascii="Consolas" w:hAnsi="Consolas"/>
          <w:color w:val="19374E"/>
          <w:sz w:val="18"/>
        </w:rPr>
        <w:t>ollama list</w:t>
      </w:r>
      <w:r>
        <w:t xml:space="preserve"> ;</w:t>
      </w:r>
    </w:p>
    <w:p>
      <w:pPr>
        <w:pStyle w:val="ListNumber"/>
      </w:pPr>
      <w:r>
        <w:t>tester Paperless-AI sur un document non sensible ;</w:t>
      </w:r>
    </w:p>
    <w:p>
      <w:pPr>
        <w:pStyle w:val="ListNumber"/>
      </w:pPr>
      <w:r>
        <w:t>tester Paperless-GPT sur un scan difficile ;</w:t>
      </w:r>
    </w:p>
    <w:p>
      <w:pPr>
        <w:pStyle w:val="ListNumber"/>
      </w:pPr>
      <w:r>
        <w:t>vérifier les métadonnées écrites et l’historique ;</w:t>
      </w:r>
    </w:p>
    <w:p>
      <w:pPr>
        <w:pStyle w:val="ListNumber"/>
      </w:pPr>
      <w:r>
        <w:t>confirmer qu’un compte API limité ne lit pas un document interdit ;</w:t>
      </w:r>
    </w:p>
    <w:p>
      <w:pPr>
        <w:pStyle w:val="ListNumber"/>
      </w:pPr>
      <w:r>
        <w:t>vérifier que l’IA ne déclenche pas involontairement un workflow destructif ;</w:t>
      </w:r>
    </w:p>
    <w:p>
      <w:pPr>
        <w:pStyle w:val="ListNumber"/>
      </w:pPr>
      <w:r>
        <w:t>mesurer temps, RAM, VRAM et espace disque ;</w:t>
      </w:r>
    </w:p>
    <w:p>
      <w:pPr>
        <w:pStyle w:val="ListNumber"/>
      </w:pPr>
      <w:r>
        <w:t>couper l’accès réseau externe et répéter le test si le fonctionnement local intégral est exigé ;</w:t>
      </w:r>
    </w:p>
    <w:p>
      <w:pPr>
        <w:pStyle w:val="ListNumber"/>
      </w:pPr>
      <w:r>
        <w:t>documenter les modèles, versions d’images et paramètres retenus.</w:t>
      </w:r>
    </w:p>
    <w:p>
      <w:pPr>
        <w:pStyle w:val="Heading2"/>
      </w:pPr>
      <w:r>
        <w:t>12. Sources</w:t>
      </w:r>
    </w:p>
    <w:p>
      <w:pPr>
        <w:pStyle w:val="ListBullet"/>
      </w:pPr>
      <w:r>
        <w:t>Stack Docker : https://github.com/timothystewart6/paperless-stack</w:t>
      </w:r>
    </w:p>
    <w:p>
      <w:pPr>
        <w:pStyle w:val="ListBullet"/>
      </w:pPr>
      <w:r>
        <w:t>Guide détaillé : https://technotim.com/posts/paperless-ngx-local-ai/</w:t>
      </w:r>
    </w:p>
    <w:p>
      <w:pPr>
        <w:pStyle w:val="ListBullet"/>
      </w:pPr>
      <w:r>
        <w:t>Paperless-AI : https://github.com/clusterzx/paperless-ai</w:t>
      </w:r>
    </w:p>
    <w:p>
      <w:pPr>
        <w:pStyle w:val="ListBullet"/>
      </w:pPr>
      <w:r>
        <w:t>Paperless-GPT : https://github.com/icereed/paperless-gpt</w:t>
      </w:r>
    </w:p>
    <w:p>
      <w:pPr>
        <w:pStyle w:val="ListBullet"/>
      </w:pPr>
      <w:r>
        <w:t>Ollama : https://github.com/ollama/ollama</w:t>
      </w:r>
    </w:p>
    <w:p>
      <w:pPr>
        <w:pStyle w:val="ListBullet"/>
      </w:pPr>
      <w:r>
        <w:t>Open WebUI : https://github.com/open-webui/open-webui</w:t>
      </w:r>
    </w:p>
    <w:p>
      <w:pPr>
        <w:pStyle w:val="ListBullet"/>
      </w:pPr>
      <w:r>
        <w:t>Paperless-ngx : https://github.com/paperless-ngx/paperless-ngx</w:t>
      </w:r>
    </w:p>
    <w:p>
      <w:r>
        <w:br w:type="page"/>
      </w:r>
    </w:p>
    <w:p>
      <w:pPr>
        <w:pStyle w:val="Heading1"/>
      </w:pPr>
      <w:r>
        <w:t>Annexe — Fichiers de livraison et sources</w:t>
      </w:r>
    </w:p>
    <w:p>
      <w:pPr>
        <w:pStyle w:val="Heading2"/>
      </w:pPr>
      <w:r>
        <w:t>Fichiers opérationnels</w:t>
      </w:r>
    </w:p>
    <w:p>
      <w:pPr>
        <w:pStyle w:val="ListBullet"/>
      </w:pPr>
      <w:r>
        <w:t>deployment/docker-compose.yml — déploiement PostgreSQL/Valkey/Tika/Gotenberg avec image GED-SARTEX</w:t>
      </w:r>
    </w:p>
    <w:p>
      <w:pPr>
        <w:pStyle w:val="ListBullet"/>
      </w:pPr>
      <w:r>
        <w:t>deployment/.env.example — variables Compose et mot de passe PostgreSQL</w:t>
      </w:r>
    </w:p>
    <w:p>
      <w:pPr>
        <w:pStyle w:val="ListBullet"/>
      </w:pPr>
      <w:r>
        <w:t>deployment/paperless.env.example — secret, fuseau, OCR et publication HTTPS</w:t>
      </w:r>
    </w:p>
    <w:p>
      <w:pPr>
        <w:pStyle w:val="ListBullet"/>
      </w:pPr>
      <w:r>
        <w:t>documentation/GUIDE_INSTALLATION.md — source maintenable du guide d’exploitation</w:t>
      </w:r>
    </w:p>
    <w:p>
      <w:pPr>
        <w:pStyle w:val="ListBullet"/>
      </w:pPr>
      <w:r>
        <w:t>documentation/GUIDE_UTILISATEUR.md — source maintenable du guide utilisateur</w:t>
      </w:r>
    </w:p>
    <w:p>
      <w:pPr>
        <w:pStyle w:val="ListBullet"/>
      </w:pPr>
      <w:r>
        <w:t>documentation/INTEGRATION_IA.md — source maintenable de la section IA</w:t>
      </w:r>
    </w:p>
    <w:p>
      <w:pPr>
        <w:pStyle w:val="Heading2"/>
      </w:pPr>
      <w:r>
        <w:t>Références principales</w:t>
      </w:r>
    </w:p>
    <w:p>
      <w:pPr>
        <w:pStyle w:val="ListBullet"/>
      </w:pPr>
      <w:r>
        <w:t>GED-SARTEX : https://github.com/yahyazarred/GED-SARTEX</w:t>
      </w:r>
    </w:p>
    <w:p>
      <w:pPr>
        <w:pStyle w:val="ListBullet"/>
      </w:pPr>
      <w:r>
        <w:t>Paperless-ngx : https://github.com/paperless-ngx/paperless-ngx</w:t>
      </w:r>
    </w:p>
    <w:p>
      <w:pPr>
        <w:pStyle w:val="ListBullet"/>
      </w:pPr>
      <w:r>
        <w:t>Documentation Paperless-ngx : https://docs.paperless-ngx.com/</w:t>
      </w:r>
    </w:p>
    <w:p>
      <w:pPr>
        <w:pStyle w:val="ListBullet"/>
      </w:pPr>
      <w:r>
        <w:t>Paperless Stack : https://github.com/timothystewart6/paperless-stack</w:t>
      </w:r>
    </w:p>
    <w:p>
      <w:pPr>
        <w:pStyle w:val="ListBullet"/>
      </w:pPr>
      <w:r>
        <w:t>Guide IA Techno Tim : https://technotim.com/posts/paperless-ngx-local-ai/</w:t>
      </w:r>
    </w:p>
    <w:p>
      <w:pPr>
        <w:pStyle w:val="ListBullet"/>
      </w:pPr>
      <w:r>
        <w:t>Vidéo : https://youtu.be/NMAwHjleqHg</w:t>
      </w:r>
    </w:p>
    <w:sectPr w:rsidR="00FC693F" w:rsidRPr="0006063C" w:rsidSect="00034616">
      <w:headerReference w:type="default" r:id="rId9"/>
      <w:footerReference w:type="default" r:id="rId10"/>
      <w:pgSz w:w="12240" w:h="15840"/>
      <w:pgMar w:top="1181" w:right="1296" w:bottom="1123"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87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874"/>
        <w:sz w:val="17"/>
      </w:rPr>
      <w:t>GED-SARTEX  |  Manuel de livraison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9374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GED-SARTEX</dc:title>
  <dc:subject>Installation, exploitation, utilisation et intégration IA</dc:subject>
  <dc:creator>Équipe GED-SARTEX</dc:creator>
  <cp:keywords>GED, Paperless-ngx, armoires, signature, workflows, Docker</cp:keywords>
  <dc:description>generated by python-docx</dc:description>
  <cp:lastModifiedBy/>
  <cp:revision>1</cp:revision>
  <dcterms:created xsi:type="dcterms:W3CDTF">2013-12-23T23:15:00Z</dcterms:created>
  <dcterms:modified xsi:type="dcterms:W3CDTF">2013-12-23T23:15:00Z</dcterms:modified>
  <cp:category/>
</cp:coreProperties>
</file>