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40"/>
        <w:jc w:val="center"/>
      </w:pPr>
      <w:r>
        <w:rPr>
          <w:rFonts w:ascii="Arial" w:cs="Arial" w:eastAsia="Arial" w:hAnsi="Arial"/>
          <w:b/>
          <w:bCs/>
          <w:color w:val="1A5276"/>
          <w:sz w:val="52"/>
          <w:szCs w:val="52"/>
        </w:rPr>
        <w:t xml:space="preserve">COMPTE RENDU</w:t>
      </w:r>
    </w:p>
    <w:p>
      <w:pPr>
        <w:spacing w:before="0" w:after="40"/>
        <w:jc w:val="center"/>
      </w:pPr>
      <w:r>
        <w:rPr>
          <w:rFonts w:ascii="Arial" w:cs="Arial" w:eastAsia="Arial" w:hAnsi="Arial"/>
          <w:color w:val="2E86C1"/>
          <w:sz w:val="32"/>
          <w:szCs w:val="32"/>
        </w:rPr>
        <w:t xml:space="preserve">Analyse des Données Boursières</w:t>
      </w:r>
    </w:p>
    <w:p>
      <w:pPr>
        <w:spacing w:before="0" w:after="40"/>
        <w:jc w:val="center"/>
      </w:pPr>
      <w:r>
        <w:rPr>
          <w:rFonts w:ascii="Arial" w:cs="Arial" w:eastAsia="Arial" w:hAnsi="Arial"/>
          <w:b/>
          <w:bCs/>
          <w:color w:val="1A5276"/>
          <w:sz w:val="36"/>
          <w:szCs w:val="36"/>
        </w:rPr>
        <w:t xml:space="preserve">CIH BANK — Bourse de Casablanca</w:t>
      </w:r>
    </w:p>
    <w:p>
      <w:pPr>
        <w:spacing w:before="0" w:after="40"/>
        <w:jc w:val="center"/>
      </w:pPr>
      <w:r>
        <w:rPr>
          <w:rFonts w:ascii="Arial" w:cs="Arial" w:eastAsia="Arial" w:hAnsi="Arial"/>
          <w:color w:val="555555"/>
          <w:sz w:val="22"/>
          <w:szCs w:val="22"/>
        </w:rPr>
        <w:t xml:space="preserve">Période : 2005 – 2024  |  4 461 Sessions de Trading</w:t>
      </w:r>
    </w:p>
    <w:p>
      <w:pPr>
        <w:pBdr>
          <w:bottom w:val="single" w:color="2E75B6" w:sz="6" w:space="1"/>
        </w:pBdr>
        <w:spacing w:before="100" w:after="100"/>
      </w:pPr>
    </w:p>
    <w:p>
      <w:pPr>
        <w:spacing w:before="60" w:after="60"/>
        <w:jc w:val="center"/>
      </w:pPr>
      <w:r>
        <w:rPr>
          <w:rFonts w:ascii="Arial" w:cs="Arial" w:eastAsia="Arial" w:hAnsi="Arial"/>
          <w:i/>
          <w:iCs/>
          <w:color w:val="666666"/>
          <w:sz w:val="22"/>
          <w:szCs w:val="22"/>
        </w:rPr>
        <w:t xml:space="preserve">Réalisé dans le cadre d'un travail d'analyse de données financières</w:t>
      </w:r>
    </w:p>
    <w:p>
      <w:pPr>
        <w:spacing w:before="40" w:after="400"/>
        <w:jc w:val="center"/>
      </w:pPr>
      <w:r>
        <w:rPr>
          <w:rFonts w:ascii="Arial" w:cs="Arial" w:eastAsia="Arial" w:hAnsi="Arial"/>
          <w:color w:val="555555"/>
          <w:sz w:val="22"/>
          <w:szCs w:val="22"/>
        </w:rPr>
        <w:t xml:space="preserve">Date : 30 mars 2026</w:t>
      </w:r>
    </w:p>
    <w:p>
      <w:pPr>
        <w:pStyle w:val="Heading1"/>
        <w:spacing w:before="320" w:after="160"/>
      </w:pPr>
      <w:r>
        <w:rPr>
          <w:rFonts w:ascii="Arial" w:cs="Arial" w:eastAsia="Arial" w:hAnsi="Arial"/>
          <w:b/>
          <w:bCs/>
          <w:color w:val="1A5276"/>
          <w:sz w:val="28"/>
          <w:szCs w:val="28"/>
        </w:rPr>
        <w:t xml:space="preserve">1. Introduction</w:t>
      </w:r>
    </w:p>
    <w:p>
      <w:pPr>
        <w:pBdr>
          <w:bottom w:val="single" w:color="2E75B6" w:sz="6" w:space="1"/>
        </w:pBdr>
        <w:spacing w:before="100" w:after="100"/>
      </w:pPr>
    </w:p>
    <w:p>
      <w:pPr>
        <w:spacing w:before="80" w:after="80"/>
        <w:jc w:val="both"/>
      </w:pPr>
      <w:r>
        <w:rPr>
          <w:rFonts w:ascii="Arial" w:cs="Arial" w:eastAsia="Arial" w:hAnsi="Arial"/>
          <w:sz w:val="22"/>
          <w:szCs w:val="22"/>
        </w:rPr>
        <w:t xml:space="preserve">Le présent compte rendu porte sur l'analyse des données boursières de CIH Bank (Crédit Immobilier et Hôtelier), cotée à la Bourse de Casablanca. L'objectif est d'explorer l'évolution historique du titre sur une période de vingt ans (2005–2024), d'identifier les tendances significatives, et de synthétiser les principaux indicateurs statistiques à travers un dashboard Excel structuré.</w:t>
      </w:r>
    </w:p>
    <w:p>
      <w:pPr>
        <w:spacing w:before="80" w:after="80"/>
        <w:jc w:val="both"/>
      </w:pPr>
      <w:r>
        <w:rPr>
          <w:rFonts w:ascii="Arial" w:cs="Arial" w:eastAsia="Arial" w:hAnsi="Arial"/>
          <w:sz w:val="22"/>
          <w:szCs w:val="22"/>
        </w:rPr>
        <w:t xml:space="preserve">Les données utilisées comprennent 4 461 sessions de trading, couvrant les prix d'ouverture, de clôture, les plus hauts, les plus bas, les volumes échangés, et les variations quotidiennes en pourcentage.</w:t>
      </w:r>
    </w:p>
    <w:p>
      <w:pPr>
        <w:pStyle w:val="Heading1"/>
        <w:spacing w:before="320" w:after="160"/>
      </w:pPr>
      <w:r>
        <w:rPr>
          <w:rFonts w:ascii="Arial" w:cs="Arial" w:eastAsia="Arial" w:hAnsi="Arial"/>
          <w:b/>
          <w:bCs/>
          <w:color w:val="1A5276"/>
          <w:sz w:val="28"/>
          <w:szCs w:val="28"/>
        </w:rPr>
        <w:t xml:space="preserve">2. Description des Données</w:t>
      </w:r>
    </w:p>
    <w:p>
      <w:pPr>
        <w:pBdr>
          <w:bottom w:val="single" w:color="2E75B6" w:sz="6" w:space="1"/>
        </w:pBdr>
        <w:spacing w:before="100" w:after="100"/>
      </w:pPr>
    </w:p>
    <w:p>
      <w:pPr>
        <w:pStyle w:val="Heading2"/>
        <w:spacing w:before="240" w:after="120"/>
      </w:pPr>
      <w:r>
        <w:rPr>
          <w:rFonts w:ascii="Arial" w:cs="Arial" w:eastAsia="Arial" w:hAnsi="Arial"/>
          <w:b/>
          <w:bCs/>
          <w:color w:val="2E86C1"/>
          <w:sz w:val="24"/>
          <w:szCs w:val="24"/>
        </w:rPr>
        <w:t xml:space="preserve">2.1 Source et Structure</w:t>
      </w:r>
    </w:p>
    <w:p>
      <w:pPr>
        <w:spacing w:before="80" w:after="80"/>
        <w:jc w:val="both"/>
      </w:pPr>
      <w:r>
        <w:rPr>
          <w:rFonts w:ascii="Arial" w:cs="Arial" w:eastAsia="Arial" w:hAnsi="Arial"/>
          <w:sz w:val="22"/>
          <w:szCs w:val="22"/>
        </w:rPr>
        <w:t xml:space="preserve">Le fichier de données brutes (Data_CIH.xlsx) contient une feuille intitulée « CIH stock evolution » avec les colonnes suivantes :</w:t>
      </w:r>
    </w:p>
    <w:p>
      <w:pPr>
        <w:pStyle w:val="ListParagraph"/>
        <w:numPr>
          <w:ilvl w:val="0"/>
          <w:numId w:val="2"/>
        </w:numPr>
        <w:spacing w:before="60" w:after="60"/>
      </w:pPr>
      <w:r>
        <w:rPr>
          <w:rFonts w:ascii="Arial" w:cs="Arial" w:eastAsia="Arial" w:hAnsi="Arial"/>
          <w:sz w:val="22"/>
          <w:szCs w:val="22"/>
        </w:rPr>
        <w:t xml:space="preserve">Date : date de la session de trading</w:t>
      </w:r>
    </w:p>
    <w:p>
      <w:pPr>
        <w:pStyle w:val="ListParagraph"/>
        <w:numPr>
          <w:ilvl w:val="0"/>
          <w:numId w:val="2"/>
        </w:numPr>
        <w:spacing w:before="60" w:after="60"/>
      </w:pPr>
      <w:r>
        <w:rPr>
          <w:rFonts w:ascii="Arial" w:cs="Arial" w:eastAsia="Arial" w:hAnsi="Arial"/>
          <w:sz w:val="22"/>
          <w:szCs w:val="22"/>
        </w:rPr>
        <w:t xml:space="preserve">Price (Clôture) : prix de clôture du titre en MAD</w:t>
      </w:r>
    </w:p>
    <w:p>
      <w:pPr>
        <w:pStyle w:val="ListParagraph"/>
        <w:numPr>
          <w:ilvl w:val="0"/>
          <w:numId w:val="2"/>
        </w:numPr>
        <w:spacing w:before="60" w:after="60"/>
      </w:pPr>
      <w:r>
        <w:rPr>
          <w:rFonts w:ascii="Arial" w:cs="Arial" w:eastAsia="Arial" w:hAnsi="Arial"/>
          <w:sz w:val="22"/>
          <w:szCs w:val="22"/>
        </w:rPr>
        <w:t xml:space="preserve">Open : prix d'ouverture</w:t>
      </w:r>
    </w:p>
    <w:p>
      <w:pPr>
        <w:pStyle w:val="ListParagraph"/>
        <w:numPr>
          <w:ilvl w:val="0"/>
          <w:numId w:val="2"/>
        </w:numPr>
        <w:spacing w:before="60" w:after="60"/>
      </w:pPr>
      <w:r>
        <w:rPr>
          <w:rFonts w:ascii="Arial" w:cs="Arial" w:eastAsia="Arial" w:hAnsi="Arial"/>
          <w:sz w:val="22"/>
          <w:szCs w:val="22"/>
        </w:rPr>
        <w:t xml:space="preserve">High / Low : plus haut et plus bas intraday</w:t>
      </w:r>
    </w:p>
    <w:p>
      <w:pPr>
        <w:pStyle w:val="ListParagraph"/>
        <w:numPr>
          <w:ilvl w:val="0"/>
          <w:numId w:val="2"/>
        </w:numPr>
        <w:spacing w:before="60" w:after="60"/>
      </w:pPr>
      <w:r>
        <w:rPr>
          <w:rFonts w:ascii="Arial" w:cs="Arial" w:eastAsia="Arial" w:hAnsi="Arial"/>
          <w:sz w:val="22"/>
          <w:szCs w:val="22"/>
        </w:rPr>
        <w:t xml:space="preserve">Vol. : volume échangé (en milliers)</w:t>
      </w:r>
    </w:p>
    <w:p>
      <w:pPr>
        <w:pStyle w:val="ListParagraph"/>
        <w:numPr>
          <w:ilvl w:val="0"/>
          <w:numId w:val="2"/>
        </w:numPr>
        <w:spacing w:before="60" w:after="60"/>
      </w:pPr>
      <w:r>
        <w:rPr>
          <w:rFonts w:ascii="Arial" w:cs="Arial" w:eastAsia="Arial" w:hAnsi="Arial"/>
          <w:sz w:val="22"/>
          <w:szCs w:val="22"/>
        </w:rPr>
        <w:t xml:space="preserve">Change % : variation journalière en pourcentage</w:t>
      </w:r>
    </w:p>
    <w:p>
      <w:pPr>
        <w:spacing w:before="80" w:after="80"/>
      </w:pPr>
    </w:p>
    <w:p>
      <w:pPr>
        <w:pStyle w:val="Heading2"/>
        <w:spacing w:before="240" w:after="120"/>
      </w:pPr>
      <w:r>
        <w:rPr>
          <w:rFonts w:ascii="Arial" w:cs="Arial" w:eastAsia="Arial" w:hAnsi="Arial"/>
          <w:b/>
          <w:bCs/>
          <w:color w:val="2E86C1"/>
          <w:sz w:val="24"/>
          <w:szCs w:val="24"/>
        </w:rPr>
        <w:t xml:space="preserve">2.2 Indicateurs Globaux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4513"/>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5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Cours actuel (2024)</w:t>
            </w:r>
          </w:p>
        </w:tc>
        <w:tc>
          <w:tcPr>
            <w:tcW w:type="dxa" w:w="45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378.00 MAD</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Record historique</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720.19 MAD (2007)</w:t>
            </w:r>
          </w:p>
        </w:tc>
      </w:tr>
      <w:tr>
        <w:tc>
          <w:tcPr>
            <w:tcW w:type="dxa" w:w="45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Plus bas historique</w:t>
            </w:r>
          </w:p>
        </w:tc>
        <w:tc>
          <w:tcPr>
            <w:tcW w:type="dxa" w:w="45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65.45 MAD (2005)</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Performance sur 20 ans</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+243.7 %</w:t>
            </w:r>
          </w:p>
        </w:tc>
      </w:tr>
      <w:tr>
        <w:tc>
          <w:tcPr>
            <w:tcW w:type="dxa" w:w="45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Prix moyen (2005–2024)</w:t>
            </w:r>
          </w:p>
        </w:tc>
        <w:tc>
          <w:tcPr>
            <w:tcW w:type="dxa" w:w="45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332.38 MAD</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Nombre total de sessions</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4 461</w:t>
            </w:r>
          </w:p>
        </w:tc>
      </w:tr>
    </w:tbl>
    <w:p>
      <w:pPr>
        <w:spacing w:before="300" w:after="0"/>
      </w:pPr>
    </w:p>
    <w:p>
      <w:pPr>
        <w:pStyle w:val="Heading1"/>
        <w:spacing w:before="320" w:after="160"/>
      </w:pPr>
      <w:r>
        <w:rPr>
          <w:rFonts w:ascii="Arial" w:cs="Arial" w:eastAsia="Arial" w:hAnsi="Arial"/>
          <w:b/>
          <w:bCs/>
          <w:color w:val="1A5276"/>
          <w:sz w:val="28"/>
          <w:szCs w:val="28"/>
        </w:rPr>
        <w:t xml:space="preserve">3. Analyse de l'Évolution Annuelle</w:t>
      </w:r>
    </w:p>
    <w:p>
      <w:pPr>
        <w:pBdr>
          <w:bottom w:val="single" w:color="2E75B6" w:sz="6" w:space="1"/>
        </w:pBdr>
        <w:spacing w:before="100" w:after="100"/>
      </w:pPr>
    </w:p>
    <w:p>
      <w:pPr>
        <w:spacing w:before="80" w:after="80"/>
        <w:jc w:val="both"/>
      </w:pPr>
      <w:r>
        <w:rPr>
          <w:rFonts w:ascii="Arial" w:cs="Arial" w:eastAsia="Arial" w:hAnsi="Arial"/>
          <w:sz w:val="22"/>
          <w:szCs w:val="22"/>
        </w:rPr>
        <w:t xml:space="preserve">Le tableau ci-dessous présente la synthèse annuelle du titre CIH Bank entre 2005 et 2024, incluant les prix de clôture, prix moyens, extremes et volumes :</w:t>
      </w:r>
    </w:p>
    <w:p>
      <w:pP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00"/>
        <w:gridCol w:w="1300"/>
        <w:gridCol w:w="1300"/>
        <w:gridCol w:w="1326"/>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Année</w:t>
            </w:r>
          </w:p>
        </w:tc>
        <w:tc>
          <w:tcPr>
            <w:tcW w:type="dxa" w:w="13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Clôture (MAD)</w:t>
            </w:r>
          </w:p>
        </w:tc>
        <w:tc>
          <w:tcPr>
            <w:tcW w:type="dxa" w:w="13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Prix Moy.</w:t>
            </w:r>
          </w:p>
        </w:tc>
        <w:tc>
          <w:tcPr>
            <w:tcW w:type="dxa" w:w="13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Plus Bas</w:t>
            </w:r>
          </w:p>
        </w:tc>
        <w:tc>
          <w:tcPr>
            <w:tcW w:type="dxa" w:w="13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Plus Haut</w:t>
            </w:r>
          </w:p>
        </w:tc>
        <w:tc>
          <w:tcPr>
            <w:tcW w:type="dxa" w:w="13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Volume (K)</w:t>
            </w:r>
          </w:p>
        </w:tc>
        <w:tc>
          <w:tcPr>
            <w:tcW w:type="dxa" w:w="13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Sessions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2005</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183.30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147.69</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65.45</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189.12</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4 766</w:t>
            </w:r>
          </w:p>
        </w:tc>
        <w:tc>
          <w:tcPr>
            <w:tcW w:type="dxa" w:w="13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219</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2006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570.40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397.54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190.29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669.60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7 684</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238</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2007</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624.96</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621.76</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575.36</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720.19</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8 616</w:t>
            </w:r>
          </w:p>
        </w:tc>
        <w:tc>
          <w:tcPr>
            <w:tcW w:type="dxa" w:w="13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251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2008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420.61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567.32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331.13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682.50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3 376</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245</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2009</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312.48</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379.61</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312.48</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430.53</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2 089</w:t>
            </w:r>
          </w:p>
        </w:tc>
        <w:tc>
          <w:tcPr>
            <w:tcW w:type="dxa" w:w="13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247</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327.36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332.91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299.59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378.60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1 266</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251</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2011</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269.00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278.78</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238.00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327.16</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1 013</w:t>
            </w:r>
          </w:p>
        </w:tc>
        <w:tc>
          <w:tcPr>
            <w:tcW w:type="dxa" w:w="13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248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2012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241.01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197.00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282.50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798</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236</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2013</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260.00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238.21</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185.00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290.00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804</w:t>
            </w:r>
          </w:p>
        </w:tc>
        <w:tc>
          <w:tcPr>
            <w:tcW w:type="dxa" w:w="13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220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2014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315.00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302.70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256.50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366.00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756</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224</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2015</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261.35</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315.18</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261.35</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369.95</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1 177</w:t>
            </w:r>
          </w:p>
        </w:tc>
        <w:tc>
          <w:tcPr>
            <w:tcW w:type="dxa" w:w="13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209</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2016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270.85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223.20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335.00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2 426</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220</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2017</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286.00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306.66</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275.00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335.00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1 237</w:t>
            </w:r>
          </w:p>
        </w:tc>
        <w:tc>
          <w:tcPr>
            <w:tcW w:type="dxa" w:w="13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224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2018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301.72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278.00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328.90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1 265</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199</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2019</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299.00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288.66</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265.00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318.00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818</w:t>
            </w:r>
          </w:p>
        </w:tc>
        <w:tc>
          <w:tcPr>
            <w:tcW w:type="dxa" w:w="13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199</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255.00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261.29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225.50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324.50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1 643</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200</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2021</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339.00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289.50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254.00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351.00</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972</w:t>
            </w:r>
          </w:p>
        </w:tc>
        <w:tc>
          <w:tcPr>
            <w:tcW w:type="dxa" w:w="13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218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2022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303.36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322.63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283.40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358.50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1 819</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222</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2023</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350.81</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342.56</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281.41</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401.16</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1 237</w:t>
            </w:r>
          </w:p>
        </w:tc>
        <w:tc>
          <w:tcPr>
            <w:tcW w:type="dxa" w:w="13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236</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2024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378.00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372.37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332.30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412.00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1 343</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155</w:t>
            </w:r>
          </w:p>
        </w:tc>
      </w:tr>
    </w:tbl>
    <w:p>
      <w:pPr>
        <w:spacing w:before="120" w:after="120"/>
      </w:pPr>
    </w:p>
    <w:p>
      <w:pPr>
        <w:pStyle w:val="Heading2"/>
        <w:spacing w:before="240" w:after="120"/>
      </w:pPr>
      <w:r>
        <w:rPr>
          <w:rFonts w:ascii="Arial" w:cs="Arial" w:eastAsia="Arial" w:hAnsi="Arial"/>
          <w:b/>
          <w:bCs/>
          <w:color w:val="2E86C1"/>
          <w:sz w:val="24"/>
          <w:szCs w:val="24"/>
        </w:rPr>
        <w:t xml:space="preserve">3.1 Principales Observations</w:t>
      </w:r>
    </w:p>
    <w:p>
      <w:pPr>
        <w:spacing w:before="80" w:after="80"/>
        <w:jc w:val="both"/>
      </w:pPr>
      <w:r>
        <w:rPr>
          <w:rFonts w:ascii="Arial" w:cs="Arial" w:eastAsia="Arial" w:hAnsi="Arial"/>
          <w:sz w:val="22"/>
          <w:szCs w:val="22"/>
        </w:rPr>
        <w:t xml:space="preserve">Plusieurs phases distinctes ressortent de cette analyse :</w:t>
      </w:r>
    </w:p>
    <w:p>
      <w:pPr>
        <w:pStyle w:val="ListParagraph"/>
        <w:numPr>
          <w:ilvl w:val="0"/>
          <w:numId w:val="2"/>
        </w:numPr>
        <w:spacing w:before="60" w:after="60"/>
      </w:pPr>
      <w:r>
        <w:rPr>
          <w:rFonts w:ascii="Arial" w:cs="Arial" w:eastAsia="Arial" w:hAnsi="Arial"/>
          <w:sz w:val="22"/>
          <w:szCs w:val="22"/>
        </w:rPr>
        <w:t xml:space="preserve">Phase haussière (2005–2007) : Le titre passe de 109 MAD à un pic de 720 MAD, soit une progression spectaculaire liée au boom immobilier marocain et à l'euphorie boursière générale.</w:t>
      </w:r>
    </w:p>
    <w:p>
      <w:pPr>
        <w:pStyle w:val="ListParagraph"/>
        <w:numPr>
          <w:ilvl w:val="0"/>
          <w:numId w:val="2"/>
        </w:numPr>
        <w:spacing w:before="60" w:after="60"/>
      </w:pPr>
      <w:r>
        <w:rPr>
          <w:rFonts w:ascii="Arial" w:cs="Arial" w:eastAsia="Arial" w:hAnsi="Arial"/>
          <w:sz w:val="22"/>
          <w:szCs w:val="22"/>
        </w:rPr>
        <w:t xml:space="preserve">Phase de correction (2008–2013) : La crise financière mondiale et le ralentissement du secteur immobilier au Maroc entraînent une forte correction. Le titre chute jusqu'à 185 MAD en 2013.</w:t>
      </w:r>
    </w:p>
    <w:p>
      <w:pPr>
        <w:pStyle w:val="ListParagraph"/>
        <w:numPr>
          <w:ilvl w:val="0"/>
          <w:numId w:val="2"/>
        </w:numPr>
        <w:spacing w:before="60" w:after="60"/>
      </w:pPr>
      <w:r>
        <w:rPr>
          <w:rFonts w:ascii="Arial" w:cs="Arial" w:eastAsia="Arial" w:hAnsi="Arial"/>
          <w:sz w:val="22"/>
          <w:szCs w:val="22"/>
        </w:rPr>
        <w:t xml:space="preserve">Phase de stabilisation (2014–2019) : Le cours se consolide dans une fourchette de 260 à 366 MAD, avec une volatilité réduite.</w:t>
      </w:r>
    </w:p>
    <w:p>
      <w:pPr>
        <w:pStyle w:val="ListParagraph"/>
        <w:numPr>
          <w:ilvl w:val="0"/>
          <w:numId w:val="2"/>
        </w:numPr>
        <w:spacing w:before="60" w:after="60"/>
      </w:pPr>
      <w:r>
        <w:rPr>
          <w:rFonts w:ascii="Arial" w:cs="Arial" w:eastAsia="Arial" w:hAnsi="Arial"/>
          <w:sz w:val="22"/>
          <w:szCs w:val="22"/>
        </w:rPr>
        <w:t xml:space="preserve">Impact COVID-19 (2020) : Le titre recule à 255 MAD, reflétant l'incertitude économique mondiale.</w:t>
      </w:r>
    </w:p>
    <w:p>
      <w:pPr>
        <w:pStyle w:val="ListParagraph"/>
        <w:numPr>
          <w:ilvl w:val="0"/>
          <w:numId w:val="2"/>
        </w:numPr>
        <w:spacing w:before="60" w:after="60"/>
      </w:pPr>
      <w:r>
        <w:rPr>
          <w:rFonts w:ascii="Arial" w:cs="Arial" w:eastAsia="Arial" w:hAnsi="Arial"/>
          <w:sz w:val="22"/>
          <w:szCs w:val="22"/>
        </w:rPr>
        <w:t xml:space="preserve">Reprise progressive (2021–2024) : Le titre entame une tendance haussière, atteignant 412 MAD au plus haut en 2024.</w:t>
      </w:r>
    </w:p>
    <w:p>
      <w:pPr>
        <w:spacing w:before="200" w:after="0"/>
      </w:pPr>
    </w:p>
    <w:p>
      <w:pPr>
        <w:pStyle w:val="Heading1"/>
        <w:spacing w:before="320" w:after="160"/>
      </w:pPr>
      <w:r>
        <w:rPr>
          <w:rFonts w:ascii="Arial" w:cs="Arial" w:eastAsia="Arial" w:hAnsi="Arial"/>
          <w:b/>
          <w:bCs/>
          <w:color w:val="1A5276"/>
          <w:sz w:val="28"/>
          <w:szCs w:val="28"/>
        </w:rPr>
        <w:t xml:space="preserve">4. Distribution Statistique des Prix</w:t>
      </w:r>
    </w:p>
    <w:p>
      <w:pPr>
        <w:pBdr>
          <w:bottom w:val="single" w:color="2E75B6" w:sz="6" w:space="1"/>
        </w:pBdr>
        <w:spacing w:before="100" w:after="100"/>
      </w:pPr>
    </w:p>
    <w:p>
      <w:pPr>
        <w:spacing w:before="80" w:after="80"/>
        <w:jc w:val="both"/>
      </w:pPr>
      <w:r>
        <w:rPr>
          <w:rFonts w:ascii="Arial" w:cs="Arial" w:eastAsia="Arial" w:hAnsi="Arial"/>
          <w:sz w:val="22"/>
          <w:szCs w:val="22"/>
        </w:rPr>
        <w:t xml:space="preserve">La répartition des sessions par tranche de prix révèle la concentration du titre sur certaines zones de valorisation :</w:t>
      </w:r>
    </w:p>
    <w:p>
      <w:pP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Tranche de Prix (MAD)</w:t>
            </w:r>
          </w:p>
        </w:tc>
        <w:tc>
          <w:tcPr>
            <w:tcW w:type="dxa" w:w="3013"/>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Nb. de Sessions</w:t>
            </w:r>
          </w:p>
        </w:tc>
        <w:tc>
          <w:tcPr>
            <w:tcW w:type="dxa" w:w="3013"/>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du Total</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&lt; 100</w:t>
            </w:r>
          </w:p>
        </w:tc>
        <w:tc>
          <w:tcPr>
            <w:tcW w:type="dxa" w:w="30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30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0.16 %</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 200</w:t>
            </w:r>
          </w:p>
        </w:tc>
        <w:tc>
          <w:tcPr>
            <w:tcW w:type="dxa" w:w="30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232</w:t>
            </w:r>
          </w:p>
        </w:tc>
        <w:tc>
          <w:tcPr>
            <w:tcW w:type="dxa" w:w="30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5.20 %</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200 – 300</w:t>
            </w:r>
          </w:p>
        </w:tc>
        <w:tc>
          <w:tcPr>
            <w:tcW w:type="dxa" w:w="30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1 831</w:t>
            </w:r>
          </w:p>
        </w:tc>
        <w:tc>
          <w:tcPr>
            <w:tcW w:type="dxa" w:w="30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41.04 %</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300 – 400</w:t>
            </w:r>
          </w:p>
        </w:tc>
        <w:tc>
          <w:tcPr>
            <w:tcW w:type="dxa" w:w="30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1 753</w:t>
            </w:r>
          </w:p>
        </w:tc>
        <w:tc>
          <w:tcPr>
            <w:tcW w:type="dxa" w:w="30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39.30 %</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400 – 500</w:t>
            </w:r>
          </w:p>
        </w:tc>
        <w:tc>
          <w:tcPr>
            <w:tcW w:type="dxa" w:w="30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152</w:t>
            </w:r>
          </w:p>
        </w:tc>
        <w:tc>
          <w:tcPr>
            <w:tcW w:type="dxa" w:w="30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3.41 %</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500 – 600</w:t>
            </w:r>
          </w:p>
        </w:tc>
        <w:tc>
          <w:tcPr>
            <w:tcW w:type="dxa" w:w="30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~220</w:t>
            </w:r>
          </w:p>
        </w:tc>
        <w:tc>
          <w:tcPr>
            <w:tcW w:type="dxa" w:w="30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~4.93 %</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600 – 720</w:t>
            </w:r>
          </w:p>
        </w:tc>
        <w:tc>
          <w:tcPr>
            <w:tcW w:type="dxa" w:w="30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~266</w:t>
            </w:r>
          </w:p>
        </w:tc>
        <w:tc>
          <w:tcPr>
            <w:tcW w:type="dxa" w:w="3013"/>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~5.96 %</w:t>
            </w:r>
          </w:p>
        </w:tc>
      </w:tr>
    </w:tbl>
    <w:p>
      <w:pPr>
        <w:spacing w:before="120" w:after="120"/>
      </w:pPr>
    </w:p>
    <w:p>
      <w:pPr>
        <w:spacing w:before="80" w:after="80"/>
        <w:jc w:val="both"/>
      </w:pPr>
      <w:r>
        <w:rPr>
          <w:rFonts w:ascii="Arial" w:cs="Arial" w:eastAsia="Arial" w:hAnsi="Arial"/>
          <w:sz w:val="22"/>
          <w:szCs w:val="22"/>
        </w:rPr>
        <w:t xml:space="preserve">On constate que plus de 80 % des sessions se sont déroulées dans la tranche 200–400 MAD, confirmant que cette zone constitue la valeur centrale du titre sur la période d'analyse.</w:t>
      </w:r>
    </w:p>
    <w:p>
      <w:pPr>
        <w:spacing w:before="200" w:after="0"/>
      </w:pPr>
    </w:p>
    <w:p>
      <w:pPr>
        <w:pStyle w:val="Heading1"/>
        <w:spacing w:before="320" w:after="160"/>
      </w:pPr>
      <w:r>
        <w:rPr>
          <w:rFonts w:ascii="Arial" w:cs="Arial" w:eastAsia="Arial" w:hAnsi="Arial"/>
          <w:b/>
          <w:bCs/>
          <w:color w:val="1A5276"/>
          <w:sz w:val="28"/>
          <w:szCs w:val="28"/>
        </w:rPr>
        <w:t xml:space="preserve">5. Analyse Mensuelle Récente (2022–2024)</w:t>
      </w:r>
    </w:p>
    <w:p>
      <w:pPr>
        <w:pBdr>
          <w:bottom w:val="single" w:color="2E75B6" w:sz="6" w:space="1"/>
        </w:pBdr>
        <w:spacing w:before="100" w:after="100"/>
      </w:pPr>
    </w:p>
    <w:p>
      <w:pPr>
        <w:spacing w:before="80" w:after="80"/>
        <w:jc w:val="both"/>
      </w:pPr>
      <w:r>
        <w:rPr>
          <w:rFonts w:ascii="Arial" w:cs="Arial" w:eastAsia="Arial" w:hAnsi="Arial"/>
          <w:sz w:val="22"/>
          <w:szCs w:val="22"/>
        </w:rPr>
        <w:t xml:space="preserve">L'analyse mensuelle porte sur la période 2022–2024 et permet d'identifier les tendances de court terme du titre CIH Bank.</w:t>
      </w:r>
    </w:p>
    <w:p>
      <w:pPr>
        <w:pStyle w:val="ListParagraph"/>
        <w:numPr>
          <w:ilvl w:val="0"/>
          <w:numId w:val="2"/>
        </w:numPr>
        <w:spacing w:before="60" w:after="60"/>
      </w:pPr>
      <w:r>
        <w:rPr>
          <w:rFonts w:ascii="Arial" w:cs="Arial" w:eastAsia="Arial" w:hAnsi="Arial"/>
          <w:sz w:val="22"/>
          <w:szCs w:val="22"/>
        </w:rPr>
        <w:t xml:space="preserve">En 2022, le cours oscille principalement entre 283 et 358 MAD, avec un prix moyen autour de 325 MAD.</w:t>
      </w:r>
    </w:p>
    <w:p>
      <w:pPr>
        <w:pStyle w:val="ListParagraph"/>
        <w:numPr>
          <w:ilvl w:val="0"/>
          <w:numId w:val="2"/>
        </w:numPr>
        <w:spacing w:before="60" w:after="60"/>
      </w:pPr>
      <w:r>
        <w:rPr>
          <w:rFonts w:ascii="Arial" w:cs="Arial" w:eastAsia="Arial" w:hAnsi="Arial"/>
          <w:sz w:val="22"/>
          <w:szCs w:val="22"/>
        </w:rPr>
        <w:t xml:space="preserve">En 2023, une dynamique positive s'observe : le titre dépasse régulièrement les 350 MAD, atteignant un pic mensuel de 401 MAD.</w:t>
      </w:r>
    </w:p>
    <w:p>
      <w:pPr>
        <w:pStyle w:val="ListParagraph"/>
        <w:numPr>
          <w:ilvl w:val="0"/>
          <w:numId w:val="2"/>
        </w:numPr>
        <w:spacing w:before="60" w:after="60"/>
      </w:pPr>
      <w:r>
        <w:rPr>
          <w:rFonts w:ascii="Arial" w:cs="Arial" w:eastAsia="Arial" w:hAnsi="Arial"/>
          <w:sz w:val="22"/>
          <w:szCs w:val="22"/>
        </w:rPr>
        <w:t xml:space="preserve">En 2024 (données partielles), la tendance haussière se confirme avec un plus haut de 412 MAD en cours d'année.</w:t>
      </w:r>
    </w:p>
    <w:p>
      <w:pPr>
        <w:spacing w:before="80" w:after="80"/>
        <w:jc w:val="both"/>
      </w:pPr>
      <w:r>
        <w:rPr>
          <w:rFonts w:ascii="Arial" w:cs="Arial" w:eastAsia="Arial" w:hAnsi="Arial"/>
          <w:sz w:val="22"/>
          <w:szCs w:val="22"/>
        </w:rPr>
        <w:t xml:space="preserve">Les volumes mensuels restent modestes (généralement entre 30 et 100K actions échangées), ce qui reflète la liquidité limitée du titre sur la place casablancaise.</w:t>
      </w:r>
    </w:p>
    <w:p>
      <w:pPr>
        <w:spacing w:before="200" w:after="0"/>
      </w:pPr>
    </w:p>
    <w:p>
      <w:pPr>
        <w:pStyle w:val="Heading1"/>
        <w:spacing w:before="320" w:after="160"/>
      </w:pPr>
      <w:r>
        <w:rPr>
          <w:rFonts w:ascii="Arial" w:cs="Arial" w:eastAsia="Arial" w:hAnsi="Arial"/>
          <w:b/>
          <w:bCs/>
          <w:color w:val="1A5276"/>
          <w:sz w:val="28"/>
          <w:szCs w:val="28"/>
        </w:rPr>
        <w:t xml:space="preserve">6. Évaluation du Dashboard (Points Forts et Axes d'Amélioration)</w:t>
      </w:r>
    </w:p>
    <w:p>
      <w:pPr>
        <w:pBdr>
          <w:bottom w:val="single" w:color="2E75B6" w:sz="6" w:space="1"/>
        </w:pBdr>
        <w:spacing w:before="100" w:after="100"/>
      </w:pPr>
    </w:p>
    <w:p>
      <w:pPr>
        <w:pStyle w:val="Heading2"/>
        <w:spacing w:before="240" w:after="120"/>
      </w:pPr>
      <w:r>
        <w:rPr>
          <w:rFonts w:ascii="Arial" w:cs="Arial" w:eastAsia="Arial" w:hAnsi="Arial"/>
          <w:b/>
          <w:bCs/>
          <w:color w:val="2E86C1"/>
          <w:sz w:val="24"/>
          <w:szCs w:val="24"/>
        </w:rPr>
        <w:t xml:space="preserve">6.1 Points Forts</w:t>
      </w:r>
    </w:p>
    <w:p>
      <w:pPr>
        <w:pStyle w:val="ListParagraph"/>
        <w:numPr>
          <w:ilvl w:val="0"/>
          <w:numId w:val="2"/>
        </w:numPr>
        <w:spacing w:before="60" w:after="60"/>
      </w:pPr>
      <w:r>
        <w:rPr>
          <w:rFonts w:ascii="Arial" w:cs="Arial" w:eastAsia="Arial" w:hAnsi="Arial"/>
          <w:sz w:val="22"/>
          <w:szCs w:val="22"/>
        </w:rPr>
        <w:t xml:space="preserve">Structure claire et bien organisée : le dashboard est découpé en 5 onglets logiques (Dashboard synthétique, Évolution Annuelle, Analyse Mensuelle, Distribution &amp; Stats, Données Brutes).</w:t>
      </w:r>
    </w:p>
    <w:p>
      <w:pPr>
        <w:pStyle w:val="ListParagraph"/>
        <w:numPr>
          <w:ilvl w:val="0"/>
          <w:numId w:val="2"/>
        </w:numPr>
        <w:spacing w:before="60" w:after="60"/>
      </w:pPr>
      <w:r>
        <w:rPr>
          <w:rFonts w:ascii="Arial" w:cs="Arial" w:eastAsia="Arial" w:hAnsi="Arial"/>
          <w:sz w:val="22"/>
          <w:szCs w:val="22"/>
        </w:rPr>
        <w:t xml:space="preserve">Couverture temporelle étendue : 20 ans de données (2005–2024) offrent une vision complète des cycles boursiers du titre.</w:t>
      </w:r>
    </w:p>
    <w:p>
      <w:pPr>
        <w:pStyle w:val="ListParagraph"/>
        <w:numPr>
          <w:ilvl w:val="0"/>
          <w:numId w:val="2"/>
        </w:numPr>
        <w:spacing w:before="60" w:after="60"/>
      </w:pPr>
      <w:r>
        <w:rPr>
          <w:rFonts w:ascii="Arial" w:cs="Arial" w:eastAsia="Arial" w:hAnsi="Arial"/>
          <w:sz w:val="22"/>
          <w:szCs w:val="22"/>
        </w:rPr>
        <w:t xml:space="preserve">Indicateurs synthétiques pertinents : cours actuel, record historique, plus bas, performance globale et prix moyen sont bien mis en avant dès l'onglet principal.</w:t>
      </w:r>
    </w:p>
    <w:p>
      <w:pPr>
        <w:pStyle w:val="ListParagraph"/>
        <w:numPr>
          <w:ilvl w:val="0"/>
          <w:numId w:val="2"/>
        </w:numPr>
        <w:spacing w:before="60" w:after="60"/>
      </w:pPr>
      <w:r>
        <w:rPr>
          <w:rFonts w:ascii="Arial" w:cs="Arial" w:eastAsia="Arial" w:hAnsi="Arial"/>
          <w:sz w:val="22"/>
          <w:szCs w:val="22"/>
        </w:rPr>
        <w:t xml:space="preserve">Richesse des métriques : chaque onglet offre des dimensions d'analyse complémentaires (annuelle, mensuelle, distribution statistique).</w:t>
      </w:r>
    </w:p>
    <w:p>
      <w:pPr>
        <w:pStyle w:val="Heading2"/>
        <w:spacing w:before="240" w:after="120"/>
      </w:pPr>
      <w:r>
        <w:rPr>
          <w:rFonts w:ascii="Arial" w:cs="Arial" w:eastAsia="Arial" w:hAnsi="Arial"/>
          <w:b/>
          <w:bCs/>
          <w:color w:val="2E86C1"/>
          <w:sz w:val="24"/>
          <w:szCs w:val="24"/>
        </w:rPr>
        <w:t xml:space="preserve">6.2 Axes d'Amélioration</w:t>
      </w:r>
    </w:p>
    <w:p>
      <w:pPr>
        <w:pStyle w:val="ListParagraph"/>
        <w:numPr>
          <w:ilvl w:val="0"/>
          <w:numId w:val="2"/>
        </w:numPr>
        <w:spacing w:before="60" w:after="60"/>
      </w:pPr>
      <w:r>
        <w:rPr>
          <w:rFonts w:ascii="Arial" w:cs="Arial" w:eastAsia="Arial" w:hAnsi="Arial"/>
          <w:sz w:val="22"/>
          <w:szCs w:val="22"/>
        </w:rPr>
        <w:t xml:space="preserve">Absence de graphiques visuels : le dashboard ne contient pas de courbes de prix ni d'histogrammes. Des visualisations intégrées (graphique de l'évolution du cours, distribution en barres) rendraient les tendances immédiatement lisibles.</w:t>
      </w:r>
    </w:p>
    <w:p>
      <w:pPr>
        <w:pStyle w:val="ListParagraph"/>
        <w:numPr>
          <w:ilvl w:val="0"/>
          <w:numId w:val="2"/>
        </w:numPr>
        <w:spacing w:before="60" w:after="60"/>
      </w:pPr>
      <w:r>
        <w:rPr>
          <w:rFonts w:ascii="Arial" w:cs="Arial" w:eastAsia="Arial" w:hAnsi="Arial"/>
          <w:sz w:val="22"/>
          <w:szCs w:val="22"/>
        </w:rPr>
        <w:t xml:space="preserve">Volume mal formaté dans les données brutes : le champ 'Vol.' contient des chaînes de caractères (ex. '2,15K') au lieu de valeurs numériques, ce qui empêche toute opération mathématique directe sur ce champ.</w:t>
      </w:r>
    </w:p>
    <w:p>
      <w:pPr>
        <w:pStyle w:val="ListParagraph"/>
        <w:numPr>
          <w:ilvl w:val="0"/>
          <w:numId w:val="2"/>
        </w:numPr>
        <w:spacing w:before="60" w:after="60"/>
      </w:pPr>
      <w:r>
        <w:rPr>
          <w:rFonts w:ascii="Arial" w:cs="Arial" w:eastAsia="Arial" w:hAnsi="Arial"/>
          <w:sz w:val="22"/>
          <w:szCs w:val="22"/>
        </w:rPr>
        <w:t xml:space="preserve">Données 2024 incomplètes : l'année 2024 ne compte que 155 sessions, contre 200–250 habituellement. Cela doit être clairement indiqué pour éviter toute erreur d'interprétation sur la performance annuelle.</w:t>
      </w:r>
    </w:p>
    <w:p>
      <w:pPr>
        <w:pStyle w:val="ListParagraph"/>
        <w:numPr>
          <w:ilvl w:val="0"/>
          <w:numId w:val="2"/>
        </w:numPr>
        <w:spacing w:before="60" w:after="60"/>
      </w:pPr>
      <w:r>
        <w:rPr>
          <w:rFonts w:ascii="Arial" w:cs="Arial" w:eastAsia="Arial" w:hAnsi="Arial"/>
          <w:sz w:val="22"/>
          <w:szCs w:val="22"/>
        </w:rPr>
        <w:t xml:space="preserve">Absence d'indicateurs de risque : des métriques telles que la volatilité annualisée, le ratio de Sharpe simplifié, ou la Value at Risk (VaR) apporteraient une dimension analytique plus approfondie.</w:t>
      </w:r>
    </w:p>
    <w:p>
      <w:pPr>
        <w:pStyle w:val="ListParagraph"/>
        <w:numPr>
          <w:ilvl w:val="0"/>
          <w:numId w:val="2"/>
        </w:numPr>
        <w:spacing w:before="60" w:after="60"/>
      </w:pPr>
      <w:r>
        <w:rPr>
          <w:rFonts w:ascii="Arial" w:cs="Arial" w:eastAsia="Arial" w:hAnsi="Arial"/>
          <w:sz w:val="22"/>
          <w:szCs w:val="22"/>
        </w:rPr>
        <w:t xml:space="preserve">Pas de contextualisation sectorielle : une comparaison avec l'indice MASI ou avec d'autres valeurs bancaires marocaines (Attijariwafa, BCP) permettrait de relativiser les performances.</w:t>
      </w:r>
    </w:p>
    <w:p>
      <w:pPr>
        <w:spacing w:before="200" w:after="0"/>
      </w:pPr>
    </w:p>
    <w:p>
      <w:pPr>
        <w:pStyle w:val="Heading1"/>
        <w:spacing w:before="320" w:after="160"/>
      </w:pPr>
      <w:r>
        <w:rPr>
          <w:rFonts w:ascii="Arial" w:cs="Arial" w:eastAsia="Arial" w:hAnsi="Arial"/>
          <w:b/>
          <w:bCs/>
          <w:color w:val="1A5276"/>
          <w:sz w:val="28"/>
          <w:szCs w:val="28"/>
        </w:rPr>
        <w:t xml:space="preserve">7. Conclusion</w:t>
      </w:r>
    </w:p>
    <w:p>
      <w:pPr>
        <w:pBdr>
          <w:bottom w:val="single" w:color="2E75B6" w:sz="6" w:space="1"/>
        </w:pBdr>
        <w:spacing w:before="100" w:after="100"/>
      </w:pPr>
    </w:p>
    <w:p>
      <w:pPr>
        <w:spacing w:before="80" w:after="80"/>
        <w:jc w:val="both"/>
      </w:pPr>
      <w:r>
        <w:rPr>
          <w:rFonts w:ascii="Arial" w:cs="Arial" w:eastAsia="Arial" w:hAnsi="Arial"/>
          <w:sz w:val="22"/>
          <w:szCs w:val="22"/>
        </w:rPr>
        <w:t xml:space="preserve">Cette analyse des données boursières de CIH Bank sur vingt ans met en lumière un titre ayant connu d'importants cycles de valorisation, intimement liés aux dynamiques économiques marocaines et mondiales. Parti d'un niveau bas autour de 65 MAD en 2005, le titre a atteint un sommet historique de 720 MAD en 2007 avant de se stabiliser autour de 300–400 MAD sur la dernière décennie.</w:t>
      </w:r>
    </w:p>
    <w:p>
      <w:pPr>
        <w:spacing w:before="80" w:after="80"/>
        <w:jc w:val="both"/>
      </w:pPr>
      <w:r>
        <w:rPr>
          <w:rFonts w:ascii="Arial" w:cs="Arial" w:eastAsia="Arial" w:hAnsi="Arial"/>
          <w:sz w:val="22"/>
          <w:szCs w:val="22"/>
        </w:rPr>
        <w:t xml:space="preserve">Le dashboard construit est fonctionnel et pédagogique. Il constitue une bonne base de travail analytique. Cependant, pour une utilisation professionnelle ou académique avancée, il gagnerait à être enrichi de visualisations graphiques, d'une normalisation des données de volume, et d'indicateurs de risque/performance.</w:t>
      </w:r>
    </w:p>
    <w:p>
      <w:pPr>
        <w:spacing w:before="80" w:after="80"/>
        <w:jc w:val="both"/>
      </w:pPr>
      <w:r>
        <w:rPr>
          <w:rFonts w:ascii="Arial" w:cs="Arial" w:eastAsia="Arial" w:hAnsi="Arial"/>
          <w:sz w:val="22"/>
          <w:szCs w:val="22"/>
        </w:rPr>
        <w:t xml:space="preserve">En l'état actuel, la donnée est utilisable pour une analyse descriptive et historique, mais des ajustements techniques sont recommandés avant tout usage dans un modèle quantitatif.</w:t>
      </w:r>
    </w:p>
    <w:p>
      <w:pPr>
        <w:pBdr>
          <w:bottom w:val="single" w:color="2E75B6" w:sz="6" w:space="1"/>
        </w:pBdr>
        <w:spacing w:before="100" w:after="100"/>
      </w:pPr>
    </w:p>
    <w:p>
      <w:pPr>
        <w:spacing w:before="80" w:after="40"/>
        <w:jc w:val="center"/>
      </w:pPr>
      <w:r>
        <w:rPr>
          <w:rFonts w:ascii="Arial" w:cs="Arial" w:eastAsia="Arial" w:hAnsi="Arial"/>
          <w:i/>
          <w:iCs/>
          <w:color w:val="888888"/>
          <w:sz w:val="20"/>
          <w:szCs w:val="20"/>
        </w:rPr>
        <w:t xml:space="preserve">— Fin du Compte Rendu —</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Analyse Boursière — CIH Bank (2005–2024)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2026-03-30T19:27:57.677Z</dcterms:created>
  <dcterms:modified xsi:type="dcterms:W3CDTF">2026-03-30T19:27:57.677Z</dcterms:modified>
</cp:coreProperties>
</file>

<file path=docProps/custom.xml><?xml version="1.0" encoding="utf-8"?>
<Properties xmlns="http://schemas.openxmlformats.org/officeDocument/2006/custom-properties" xmlns:vt="http://schemas.openxmlformats.org/officeDocument/2006/docPropsVTypes"/>
</file>