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rx5tmcq4jz" w:id="0"/>
      <w:bookmarkEnd w:id="0"/>
      <w:r w:rsidDel="00000000" w:rsidR="00000000" w:rsidRPr="00000000">
        <w:rPr>
          <w:rtl w:val="0"/>
        </w:rPr>
        <w:t xml:space="preserve">Analyse Historique des Performances de l'Action CIH (2005-2024)</w:t>
      </w:r>
    </w:p>
    <w:p w:rsidR="00000000" w:rsidDel="00000000" w:rsidP="00000000" w:rsidRDefault="00000000" w:rsidRPr="00000000" w14:paraId="00000002">
      <w:pPr>
        <w:pStyle w:val="Heading4"/>
        <w:rPr/>
      </w:pPr>
      <w:bookmarkStart w:colFirst="0" w:colLast="0" w:name="_3rujkhcw1h27" w:id="1"/>
      <w:bookmarkEnd w:id="1"/>
      <w:r w:rsidDel="00000000" w:rsidR="00000000" w:rsidRPr="00000000">
        <w:rPr>
          <w:rtl w:val="0"/>
        </w:rPr>
        <w:t xml:space="preserve">Résumé Analytique</w:t>
      </w:r>
    </w:p>
    <w:p w:rsidR="00000000" w:rsidDel="00000000" w:rsidP="00000000" w:rsidRDefault="00000000" w:rsidRPr="00000000" w14:paraId="00000003">
      <w:pPr>
        <w:rPr/>
      </w:pPr>
      <w:r w:rsidDel="00000000" w:rsidR="00000000" w:rsidRPr="00000000">
        <w:rPr>
          <w:rtl w:val="0"/>
        </w:rPr>
        <w:t xml:space="preserve">L'analyse des données historiques de l'action CIH sur une période de près de 20 ans (janvier 2005 à août 2024) révèle une trajectoire de croissance substantielle à long terme, marquée par des phases de consolidation et des pics de volatilité stratégiques. Partant d'un cours de clôture de  </w:t>
      </w:r>
      <w:r w:rsidDel="00000000" w:rsidR="00000000" w:rsidRPr="00000000">
        <w:rPr>
          <w:b w:val="1"/>
          <w:bCs w:val="1"/>
          <w:rtl w:val="0"/>
        </w:rPr>
        <w:t xml:space="preserve">65,89</w:t>
      </w:r>
      <w:r w:rsidDel="00000000" w:rsidR="00000000" w:rsidRPr="00000000">
        <w:rPr>
          <w:rtl w:val="0"/>
        </w:rPr>
        <w:t xml:space="preserve">  en janvier 2005, le titre a atteint un sommet de  </w:t>
      </w:r>
      <w:r w:rsidDel="00000000" w:rsidR="00000000" w:rsidRPr="00000000">
        <w:rPr>
          <w:b w:val="1"/>
          <w:bCs w:val="1"/>
          <w:rtl w:val="0"/>
        </w:rPr>
        <w:t xml:space="preserve">412,00</w:t>
      </w:r>
      <w:r w:rsidDel="00000000" w:rsidR="00000000" w:rsidRPr="00000000">
        <w:rPr>
          <w:rtl w:val="0"/>
        </w:rPr>
        <w:t xml:space="preserve">  le 29 août 2024, représentant une appréciation globale de plus de 525 %.La période la plus récente (2023-2024) témoigne d'une accélération notable de la valeur, le titre ayant franchi et s'étant stabilisé au-dessus de la barre psychologique des 400. Bien que le volume d'échanges quotidien soit resté modéré dans l'ensemble, des pics exceptionnels de liquidité ont été enregistrés, notamment en 2020 et 2022, souvent corrélés à des ajustements de cours significatifs.</w:t>
      </w:r>
    </w:p>
    <w:p w:rsidR="00000000" w:rsidDel="00000000" w:rsidP="00000000" w:rsidRDefault="00000000" w:rsidRPr="00000000" w14:paraId="00000004">
      <w:pPr>
        <w:pStyle w:val="Heading4"/>
        <w:rPr/>
      </w:pPr>
      <w:bookmarkStart w:colFirst="0" w:colLast="0" w:name="_x0hkoaxb6uzj" w:id="2"/>
      <w:bookmarkEnd w:id="2"/>
      <w:r w:rsidDel="00000000" w:rsidR="00000000" w:rsidRPr="00000000">
        <w:rPr>
          <w:rtl w:val="0"/>
        </w:rPr>
        <w:t xml:space="preserve">Analyse Thématique</w:t>
      </w:r>
    </w:p>
    <w:p w:rsidR="00000000" w:rsidDel="00000000" w:rsidP="00000000" w:rsidRDefault="00000000" w:rsidRPr="00000000" w14:paraId="00000005">
      <w:pPr>
        <w:pStyle w:val="Heading5"/>
        <w:rPr/>
      </w:pPr>
      <w:bookmarkStart w:colFirst="0" w:colLast="0" w:name="_jln19amatnne" w:id="3"/>
      <w:bookmarkEnd w:id="3"/>
      <w:r w:rsidDel="00000000" w:rsidR="00000000" w:rsidRPr="00000000">
        <w:rPr>
          <w:rtl w:val="0"/>
        </w:rPr>
        <w:t xml:space="preserve">1. Dynamique des Cours et Tendances de Marché (2023 - 2024)</w:t>
      </w:r>
    </w:p>
    <w:p w:rsidR="00000000" w:rsidDel="00000000" w:rsidP="00000000" w:rsidRDefault="00000000" w:rsidRPr="00000000" w14:paraId="00000006">
      <w:pPr>
        <w:rPr/>
      </w:pPr>
      <w:r w:rsidDel="00000000" w:rsidR="00000000" w:rsidRPr="00000000">
        <w:rPr>
          <w:rtl w:val="0"/>
        </w:rPr>
        <w:t xml:space="preserve">L'année 2024 marque une phase de forte performance pour CIH. Le titre a montré une résilience constante au-dessus du seuil des 370 avant d'entamer une ascension vers les 400.</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Performance Récente (Août 2024) :</w:t>
      </w:r>
      <w:r w:rsidDel="00000000" w:rsidR="00000000" w:rsidRPr="00000000">
        <w:rPr>
          <w:rtl w:val="0"/>
        </w:rPr>
        <w:t xml:space="preserve">  Le titre a oscillé entre un plus bas de 394,90 (08/08/2024) et un plus haut de 412,00 (29/08/2024). La progression de 1,44 % enregistrée le 29 août souligne une dynamique haussière en fin de période.</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Franchissement du Seuil de 400 :</w:t>
      </w:r>
      <w:r w:rsidDel="00000000" w:rsidR="00000000" w:rsidRPr="00000000">
        <w:rPr>
          <w:rtl w:val="0"/>
        </w:rPr>
        <w:t xml:space="preserve">  Le titre a testé ce niveau à plusieurs reprises en juillet 2024 avant de s'y installer durablement en août.</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Volatilité de Fin 2023 :</w:t>
      </w:r>
      <w:r w:rsidDel="00000000" w:rsidR="00000000" w:rsidRPr="00000000">
        <w:rPr>
          <w:rtl w:val="0"/>
        </w:rPr>
        <w:t xml:space="preserve">  On note un épisode de forte volatilité les 28 et 29 décembre 2023, avec une chute brutale de  </w:t>
      </w:r>
      <w:r w:rsidDel="00000000" w:rsidR="00000000" w:rsidRPr="00000000">
        <w:rPr>
          <w:b w:val="1"/>
          <w:bCs w:val="1"/>
          <w:rtl w:val="0"/>
        </w:rPr>
        <w:t xml:space="preserve">-8,70 %</w:t>
      </w:r>
      <w:r w:rsidDel="00000000" w:rsidR="00000000" w:rsidRPr="00000000">
        <w:rPr>
          <w:rtl w:val="0"/>
        </w:rPr>
        <w:t xml:space="preserve">  (cours à 319,33) suivie d'un rebond spectaculaire de  </w:t>
      </w:r>
      <w:r w:rsidDel="00000000" w:rsidR="00000000" w:rsidRPr="00000000">
        <w:rPr>
          <w:b w:val="1"/>
          <w:bCs w:val="1"/>
          <w:rtl w:val="0"/>
        </w:rPr>
        <w:t xml:space="preserve">+9,86 %</w:t>
      </w:r>
      <w:r w:rsidDel="00000000" w:rsidR="00000000" w:rsidRPr="00000000">
        <w:rPr>
          <w:rtl w:val="0"/>
        </w:rPr>
        <w:t xml:space="preserve">  le lendemain pour revenir à 350,81.</w:t>
      </w:r>
    </w:p>
    <w:p w:rsidR="00000000" w:rsidDel="00000000" w:rsidP="00000000" w:rsidRDefault="00000000" w:rsidRPr="00000000" w14:paraId="0000000A">
      <w:pPr>
        <w:pStyle w:val="Heading5"/>
        <w:rPr/>
      </w:pPr>
      <w:bookmarkStart w:colFirst="0" w:colLast="0" w:name="_h74uwv4swqw1" w:id="4"/>
      <w:bookmarkEnd w:id="4"/>
      <w:r w:rsidDel="00000000" w:rsidR="00000000" w:rsidRPr="00000000">
        <w:rPr>
          <w:rtl w:val="0"/>
        </w:rPr>
        <w:t xml:space="preserve">2. Jalons Historiques de Longue Durée</w:t>
      </w:r>
    </w:p>
    <w:p w:rsidR="00000000" w:rsidDel="00000000" w:rsidP="00000000" w:rsidRDefault="00000000" w:rsidRPr="00000000" w14:paraId="0000000B">
      <w:pPr>
        <w:rPr/>
      </w:pPr>
      <w:r w:rsidDel="00000000" w:rsidR="00000000" w:rsidRPr="00000000">
        <w:rPr>
          <w:rtl w:val="0"/>
        </w:rPr>
        <w:t xml:space="preserve">L'évolution du titre sur deux décennies permet d'identifier des cycles de croissance distincts :| Période | Cours Approximatif (Début) | Cours Approximatif (Fin) | Observation Clé || ------ | ------ | ------ | ------ || </w:t>
      </w:r>
      <w:r w:rsidDel="00000000" w:rsidR="00000000" w:rsidRPr="00000000">
        <w:rPr>
          <w:b w:val="1"/>
          <w:bCs w:val="1"/>
          <w:rtl w:val="0"/>
        </w:rPr>
        <w:t xml:space="preserve">2005</w:t>
      </w:r>
      <w:r w:rsidDel="00000000" w:rsidR="00000000" w:rsidRPr="00000000">
        <w:rPr>
          <w:rtl w:val="0"/>
        </w:rPr>
        <w:t xml:space="preserve"> | 65,89 | 109,83 (janvier) | Croissance explosive initiale (+33,66 % le 27/01/2005). || </w:t>
      </w:r>
      <w:r w:rsidDel="00000000" w:rsidR="00000000" w:rsidRPr="00000000">
        <w:rPr>
          <w:b w:val="1"/>
          <w:bCs w:val="1"/>
          <w:rtl w:val="0"/>
        </w:rPr>
        <w:t xml:space="preserve">2019</w:t>
      </w:r>
      <w:r w:rsidDel="00000000" w:rsidR="00000000" w:rsidRPr="00000000">
        <w:rPr>
          <w:rtl w:val="0"/>
        </w:rPr>
        <w:t xml:space="preserve"> | 280,00 | 299,00 | Stabilité relative dans la zone 280-300. || </w:t>
      </w:r>
      <w:r w:rsidDel="00000000" w:rsidR="00000000" w:rsidRPr="00000000">
        <w:rPr>
          <w:b w:val="1"/>
          <w:bCs w:val="1"/>
          <w:rtl w:val="0"/>
        </w:rPr>
        <w:t xml:space="preserve">2020</w:t>
      </w:r>
      <w:r w:rsidDel="00000000" w:rsidR="00000000" w:rsidRPr="00000000">
        <w:rPr>
          <w:rtl w:val="0"/>
        </w:rPr>
        <w:t xml:space="preserve"> | 300,00 | 255,00 | Impact marqué par la baisse du printemps 2020 (min. 225,50 en avril). || </w:t>
      </w:r>
      <w:r w:rsidDel="00000000" w:rsidR="00000000" w:rsidRPr="00000000">
        <w:rPr>
          <w:b w:val="1"/>
          <w:bCs w:val="1"/>
          <w:rtl w:val="0"/>
        </w:rPr>
        <w:t xml:space="preserve">2022</w:t>
      </w:r>
      <w:r w:rsidDel="00000000" w:rsidR="00000000" w:rsidRPr="00000000">
        <w:rPr>
          <w:rtl w:val="0"/>
        </w:rPr>
        <w:t xml:space="preserve"> | 339,00 | 303,36 | Phase de correction et de consolidation. || </w:t>
      </w:r>
      <w:r w:rsidDel="00000000" w:rsidR="00000000" w:rsidRPr="00000000">
        <w:rPr>
          <w:b w:val="1"/>
          <w:bCs w:val="1"/>
          <w:rtl w:val="0"/>
        </w:rPr>
        <w:t xml:space="preserve">2024</w:t>
      </w:r>
      <w:r w:rsidDel="00000000" w:rsidR="00000000" w:rsidRPr="00000000">
        <w:rPr>
          <w:rtl w:val="0"/>
        </w:rPr>
        <w:t xml:space="preserve"> | 340,00 | 412,00 | Forte accélération haussière. |</w:t>
      </w:r>
    </w:p>
    <w:p w:rsidR="00000000" w:rsidDel="00000000" w:rsidP="00000000" w:rsidRDefault="00000000" w:rsidRPr="00000000" w14:paraId="0000000C">
      <w:pPr>
        <w:pStyle w:val="Heading5"/>
        <w:rPr/>
      </w:pPr>
      <w:bookmarkStart w:colFirst="0" w:colLast="0" w:name="_jvvnc3w8ur8i" w:id="5"/>
      <w:bookmarkEnd w:id="5"/>
      <w:r w:rsidDel="00000000" w:rsidR="00000000" w:rsidRPr="00000000">
        <w:rPr>
          <w:rtl w:val="0"/>
        </w:rPr>
        <w:t xml:space="preserve">3. Analyse de la Volatilité et des Événements de Liquidité</w:t>
      </w:r>
    </w:p>
    <w:p w:rsidR="00000000" w:rsidDel="00000000" w:rsidP="00000000" w:rsidRDefault="00000000" w:rsidRPr="00000000" w14:paraId="0000000D">
      <w:pPr>
        <w:rPr/>
      </w:pPr>
      <w:r w:rsidDel="00000000" w:rsidR="00000000" w:rsidRPr="00000000">
        <w:rPr>
          <w:rtl w:val="0"/>
        </w:rPr>
        <w:t xml:space="preserve">Les données montrent que CIH connaît des épisodes de volumes massifs qui contrastent avec son activité habituelle.</w:t>
      </w:r>
    </w:p>
    <w:p w:rsidR="00000000" w:rsidDel="00000000" w:rsidP="00000000" w:rsidRDefault="00000000" w:rsidRPr="00000000" w14:paraId="0000000E">
      <w:pPr>
        <w:numPr>
          <w:ilvl w:val="0"/>
          <w:numId w:val="3"/>
        </w:numPr>
        <w:ind w:left="720" w:hanging="360"/>
        <w:rPr>
          <w:b w:val="1"/>
          <w:bCs w:val="1"/>
          <w:u w:val="none"/>
        </w:rPr>
      </w:pPr>
      <w:r w:rsidDel="00000000" w:rsidR="00000000" w:rsidRPr="00000000">
        <w:rPr>
          <w:b w:val="1"/>
          <w:bCs w:val="1"/>
          <w:rtl w:val="0"/>
        </w:rPr>
        <w:t xml:space="preserve">Pics de Volume Majeurs :</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16/06/2022 :</w:t>
      </w:r>
      <w:r w:rsidDel="00000000" w:rsidR="00000000" w:rsidRPr="00000000">
        <w:rPr>
          <w:rtl w:val="0"/>
        </w:rPr>
        <w:t xml:space="preserve">  Un volume record de  </w:t>
      </w:r>
      <w:r w:rsidDel="00000000" w:rsidR="00000000" w:rsidRPr="00000000">
        <w:rPr>
          <w:b w:val="1"/>
          <w:bCs w:val="1"/>
          <w:rtl w:val="0"/>
        </w:rPr>
        <w:t xml:space="preserve">561,27K</w:t>
      </w:r>
      <w:r w:rsidDel="00000000" w:rsidR="00000000" w:rsidRPr="00000000">
        <w:rPr>
          <w:rtl w:val="0"/>
        </w:rPr>
        <w:t xml:space="preserve">  a été enregistré avec un cours à 322,32.</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10/02/2022 :</w:t>
      </w:r>
      <w:r w:rsidDel="00000000" w:rsidR="00000000" w:rsidRPr="00000000">
        <w:rPr>
          <w:rtl w:val="0"/>
        </w:rPr>
        <w:t xml:space="preserve">  Un volume de  </w:t>
      </w:r>
      <w:r w:rsidDel="00000000" w:rsidR="00000000" w:rsidRPr="00000000">
        <w:rPr>
          <w:b w:val="1"/>
          <w:bCs w:val="1"/>
          <w:rtl w:val="0"/>
        </w:rPr>
        <w:t xml:space="preserve">452,73K</w:t>
      </w:r>
      <w:r w:rsidDel="00000000" w:rsidR="00000000" w:rsidRPr="00000000">
        <w:rPr>
          <w:rtl w:val="0"/>
        </w:rPr>
        <w:t xml:space="preserve">  a accompagné une hausse de 2,37 %.</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20/06/2024 :</w:t>
      </w:r>
      <w:r w:rsidDel="00000000" w:rsidR="00000000" w:rsidRPr="00000000">
        <w:rPr>
          <w:rtl w:val="0"/>
        </w:rPr>
        <w:t xml:space="preserve">  Plus récemment, un volume élevé de  </w:t>
      </w:r>
      <w:r w:rsidDel="00000000" w:rsidR="00000000" w:rsidRPr="00000000">
        <w:rPr>
          <w:b w:val="1"/>
          <w:bCs w:val="1"/>
          <w:rtl w:val="0"/>
        </w:rPr>
        <w:t xml:space="preserve">214,58K</w:t>
      </w:r>
      <w:r w:rsidDel="00000000" w:rsidR="00000000" w:rsidRPr="00000000">
        <w:rPr>
          <w:rtl w:val="0"/>
        </w:rPr>
        <w:t xml:space="preserve">  a été observé.</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Corrections Historiques :</w:t>
      </w:r>
      <w:r w:rsidDel="00000000" w:rsidR="00000000" w:rsidRPr="00000000">
        <w:rPr>
          <w:rtl w:val="0"/>
        </w:rPr>
        <w:t xml:space="preserve">  La baisse la plus notable enregistrée dans les données récentes est celle du  </w:t>
      </w:r>
      <w:r w:rsidDel="00000000" w:rsidR="00000000" w:rsidRPr="00000000">
        <w:rPr>
          <w:b w:val="1"/>
          <w:bCs w:val="1"/>
          <w:rtl w:val="0"/>
        </w:rPr>
        <w:t xml:space="preserve">16/03/2020 (-9,96 %)</w:t>
      </w:r>
      <w:r w:rsidDel="00000000" w:rsidR="00000000" w:rsidRPr="00000000">
        <w:rPr>
          <w:rtl w:val="0"/>
        </w:rPr>
        <w:t xml:space="preserve"> , portant le cours à 245,85, période correspondant aux perturbations mondiales des marchés.</w:t>
      </w:r>
    </w:p>
    <w:p w:rsidR="00000000" w:rsidDel="00000000" w:rsidP="00000000" w:rsidRDefault="00000000" w:rsidRPr="00000000" w14:paraId="00000013">
      <w:pPr>
        <w:pStyle w:val="Heading4"/>
        <w:rPr/>
      </w:pPr>
      <w:bookmarkStart w:colFirst="0" w:colLast="0" w:name="_rovnrir9zs5t" w:id="6"/>
      <w:bookmarkEnd w:id="6"/>
      <w:r w:rsidDel="00000000" w:rsidR="00000000" w:rsidRPr="00000000">
        <w:rPr>
          <w:rtl w:val="0"/>
        </w:rPr>
        <w:t xml:space="preserve">Données Statistiques Clés (Extraits de Variation %)</w:t>
      </w:r>
    </w:p>
    <w:p w:rsidR="00000000" w:rsidDel="00000000" w:rsidP="00000000" w:rsidRDefault="00000000" w:rsidRPr="00000000" w14:paraId="00000014">
      <w:pPr>
        <w:rPr>
          <w:b w:val="1"/>
          <w:bCs w:val="1"/>
        </w:rPr>
      </w:pPr>
      <w:r w:rsidDel="00000000" w:rsidR="00000000" w:rsidRPr="00000000">
        <w:rPr>
          <w:rtl w:val="0"/>
        </w:rPr>
        <w:t xml:space="preserve">Le comportement du titre est caractérisé par des variations journalières généralement contenues (entre -1 % et +1 %), entrecoupées de mouvements brusques.</w:t>
      </w:r>
      <w:r w:rsidDel="00000000" w:rsidR="00000000" w:rsidRPr="00000000">
        <w:rPr>
          <w:b w:val="1"/>
          <w:bCs w:val="1"/>
          <w:rtl w:val="0"/>
        </w:rPr>
        <w:t xml:space="preserve">Variations positives marquantes :</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27/01/2005 :</w:t>
      </w:r>
      <w:r w:rsidDel="00000000" w:rsidR="00000000" w:rsidRPr="00000000">
        <w:rPr>
          <w:rtl w:val="0"/>
        </w:rPr>
        <w:t xml:space="preserve">  +33,66 %</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29/12/2023 :</w:t>
      </w:r>
      <w:r w:rsidDel="00000000" w:rsidR="00000000" w:rsidRPr="00000000">
        <w:rPr>
          <w:rtl w:val="0"/>
        </w:rPr>
        <w:t xml:space="preserve">  +9,86 %</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10/03/2020 :</w:t>
      </w:r>
      <w:r w:rsidDel="00000000" w:rsidR="00000000" w:rsidRPr="00000000">
        <w:rPr>
          <w:rtl w:val="0"/>
        </w:rPr>
        <w:t xml:space="preserve">  +7,31 %</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06/04/2019 :</w:t>
      </w:r>
      <w:r w:rsidDel="00000000" w:rsidR="00000000" w:rsidRPr="00000000">
        <w:rPr>
          <w:rtl w:val="0"/>
        </w:rPr>
        <w:t xml:space="preserve">  +6,54 %</w:t>
      </w:r>
      <w:r w:rsidDel="00000000" w:rsidR="00000000" w:rsidRPr="00000000">
        <w:rPr>
          <w:b w:val="1"/>
          <w:bCs w:val="1"/>
          <w:rtl w:val="0"/>
        </w:rPr>
        <w:t xml:space="preserve">Variations négatives marquantes :</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16/03/2020 :</w:t>
      </w:r>
      <w:r w:rsidDel="00000000" w:rsidR="00000000" w:rsidRPr="00000000">
        <w:rPr>
          <w:rtl w:val="0"/>
        </w:rPr>
        <w:t xml:space="preserve">  -9,96 %</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28/12/2023 :</w:t>
      </w:r>
      <w:r w:rsidDel="00000000" w:rsidR="00000000" w:rsidRPr="00000000">
        <w:rPr>
          <w:rtl w:val="0"/>
        </w:rPr>
        <w:t xml:space="preserve">  -8,70 %</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09/03/2020 :</w:t>
      </w:r>
      <w:r w:rsidDel="00000000" w:rsidR="00000000" w:rsidRPr="00000000">
        <w:rPr>
          <w:rtl w:val="0"/>
        </w:rPr>
        <w:t xml:space="preserve">  -8,33 %</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27/11/2023 :</w:t>
      </w:r>
      <w:r w:rsidDel="00000000" w:rsidR="00000000" w:rsidRPr="00000000">
        <w:rPr>
          <w:rtl w:val="0"/>
        </w:rPr>
        <w:t xml:space="preserve">  -8,22 %</w:t>
      </w:r>
    </w:p>
    <w:p w:rsidR="00000000" w:rsidDel="00000000" w:rsidP="00000000" w:rsidRDefault="00000000" w:rsidRPr="00000000" w14:paraId="0000001D">
      <w:pPr>
        <w:pStyle w:val="Heading4"/>
        <w:rPr/>
      </w:pPr>
      <w:bookmarkStart w:colFirst="0" w:colLast="0" w:name="_r4gyfl3mugl" w:id="7"/>
      <w:bookmarkEnd w:id="7"/>
      <w:r w:rsidDel="00000000" w:rsidR="00000000" w:rsidRPr="00000000">
        <w:rPr>
          <w:rtl w:val="0"/>
        </w:rPr>
        <w:t xml:space="preserve">Conclusion de l'Analyse</w:t>
      </w:r>
    </w:p>
    <w:p w:rsidR="00000000" w:rsidDel="00000000" w:rsidP="00000000" w:rsidRDefault="00000000" w:rsidRPr="00000000" w14:paraId="0000001E">
      <w:pPr>
        <w:rPr/>
      </w:pPr>
      <w:r w:rsidDel="00000000" w:rsidR="00000000" w:rsidRPr="00000000">
        <w:rPr>
          <w:rtl w:val="0"/>
        </w:rPr>
        <w:t xml:space="preserve">Les données historiques de CIH décrivent une valeur qui a su traverser diverses phases de marché pour atteindre des niveaux records en 2024. Le passage de la zone des 300 vers celle des 400 s'est fait avec une volatilité accrue fin 2023, mais semble s'être solidifié au cours du second semestre 2024. Les investisseurs doivent noter que malgré des périodes de faible liquidité (volumes inférieurs à 1K certains jours), le titre est sujet à des injections de liquidités massives (pics à plus de 500K titres) qui dictent souvent les nouveaux paliers de prix.</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