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3bfda15e85641c76412f4584438bb75d91a317"/>
    <w:p>
      <w:pPr>
        <w:pStyle w:val="Heading1"/>
      </w:pPr>
      <w:r>
        <w:t xml:space="preserve">Algamol Deployment Model: EEC/Permag SmCo Magnet Facility, Landisville PA</w:t>
      </w:r>
    </w:p>
    <w:bookmarkStart w:id="20" w:name="summary"/>
    <w:p>
      <w:pPr>
        <w:pStyle w:val="Heading2"/>
      </w:pPr>
      <w:r>
        <w:t xml:space="preserve">Summary</w:t>
      </w:r>
    </w:p>
    <w:p>
      <w:pPr>
        <w:pStyle w:val="FirstParagraph"/>
      </w:pPr>
      <w:r>
        <w:t xml:space="preserve">Electron Energy Corporation (EEC) is a rare-earth permanent magnet manufacturer headquartered in Landisville, Pennsylvania, with a second listed Lancaster, Pennsylvania address at 300 Running Pump Road, and it has operated since 1970. EEC’s product focus includes samarium-cobalt (SmCo) magnets and assemblies that serve high-reliability aerospace and defense applications, including publicly referenced programs such as JSF, F-18, Patriot, Predator, and Navy nuclear programs. EEC describes itself as vertically integrated and documents an in-house SmCo manufacturing chain that includes induction melting of elemental inputs, powder milling to ~3 µm, pressing (axial/transverse/isostatic), sinter/solution/aging heat treatments, and brittle-magnet machining steps such as grinding, slicing, and wire EDM.</w:t>
      </w:r>
    </w:p>
    <w:p>
      <w:pPr>
        <w:pStyle w:val="BodyText"/>
      </w:pPr>
      <w:r>
        <w:t xml:space="preserve">From a wastewater and pretreatment perspective, the relevant local context in Lancaster County includes industrial-user permitting and “local limits” under a POTW pretreatment program (e.g., Lancaster Area Sewer Authority’s program), which is designed to prevent pollutants that could interfere with the POTW or contaminate biosolids. However, the provided EEC-facing sources do not disclose site-specific wastewater volumes, coolant chemistries, or quantitative scrap/waste generation metrics, which constrains a fully parameterized ROI model and necessitates a measurement-first pilot plan for any on-site treatment and metals recovery concept.</w:t>
      </w:r>
    </w:p>
    <w:bookmarkEnd w:id="20"/>
    <w:bookmarkStart w:id="22" w:name="facility-profile"/>
    <w:p>
      <w:pPr>
        <w:pStyle w:val="Heading2"/>
      </w:pPr>
      <w:r>
        <w:t xml:space="preserve">Facility profile</w:t>
      </w:r>
    </w:p>
    <w:p>
      <w:pPr>
        <w:pStyle w:val="FirstParagraph"/>
      </w:pPr>
      <w:r>
        <w:t xml:space="preserve">EEC was founded in 1970 and is headquartered in Landisville, PA, with a primary listed address of 924 Links Avenue, Landisville, PA 17538, and an additional Lancaster, PA address at 300 Running Pump Road, Lancaster, PA 17603. The company describes itself as a leading producer of rare earth magnets specializing in SmCo magnet manufacturing and also lists NdFeB and magnet assemblies among its specialties. EEC’s defense relevance is supported both by its industry positioning (defense and aerospace markets) and by explicit examples of programs and platforms served in public-facing descriptions (e.g., JSF, F-18, Patriot, Predator, Navy nuclear programs).</w:t>
      </w:r>
    </w:p>
    <w:p>
      <w:pPr>
        <w:pStyle w:val="BodyText"/>
      </w:pPr>
      <w:r>
        <w:t xml:space="preserve">EEC facility footprint can be triangulated from multiple company materials that describe a 40,000 sq. ft. facility and the addition of a new ~45,000 sq. ft. facility to house magnet finishing and assembly operations, yielding a combined manufacturing footprint on the order of ~85,000 sq. ft. EEC’s current workforce size is presented in public sources in the ~130–150 employee range, indicating a mid-sized specialty manufacturer in a highly regulated supply chain.</w:t>
      </w:r>
    </w:p>
    <w:bookmarkStart w:id="21" w:name="ownership-and-corporate-relationships"/>
    <w:p>
      <w:pPr>
        <w:pStyle w:val="Heading3"/>
      </w:pPr>
      <w:r>
        <w:t xml:space="preserve">Ownership and corporate relationships</w:t>
      </w:r>
    </w:p>
    <w:p>
      <w:pPr>
        <w:pStyle w:val="FirstParagraph"/>
      </w:pPr>
      <w:r>
        <w:t xml:space="preserve">EEC joined Magnetic Holdings, LLC in 2024, and Magnetic Holdings was subsequently rebranded as Permag, which also includes Dexter Magnetic Technologies and Magnetic Component Engineering (MCE). Separately, an investor profile notes that Tinicum acquired a controlling interest in Permag’s parent company (Robert Family Holdings, LLC) in January 2021 and that the parent was renamed TSL Engineered Products, LLC.</w:t>
      </w:r>
    </w:p>
    <w:bookmarkEnd w:id="21"/>
    <w:bookmarkEnd w:id="22"/>
    <w:bookmarkStart w:id="24" w:name="smco-manufacturing-operations"/>
    <w:p>
      <w:pPr>
        <w:pStyle w:val="Heading2"/>
      </w:pPr>
      <w:r>
        <w:t xml:space="preserve">SmCo manufacturing operations</w:t>
      </w:r>
    </w:p>
    <w:p>
      <w:pPr>
        <w:pStyle w:val="FirstParagraph"/>
      </w:pPr>
      <w:r>
        <w:t xml:space="preserve">EEC explicitly documents an in-house SmCo alloy and magnet production pathway beginning with induction melting, in which it purchases pure raw materials (Sm, Co, Fe, Cu, and Zr) for in-house production of SmCo 1:5 and 2:17 alloys and alloys these metals in an inert gas using an induction melting furnace. EEC also documents that it processes crushed alloy powder via ball or jet milling to reduce average particle size to approximately 3 microns, which is a key input specification for subsequent pressing and sintering steps. Green compacts are formed using axial, transverse, or isostatic presses, aligning with standard powder-metallurgy approaches used for high-performance rare-earth permanent magnets.</w:t>
      </w:r>
    </w:p>
    <w:p>
      <w:pPr>
        <w:pStyle w:val="BodyText"/>
      </w:pPr>
      <w:r>
        <w:t xml:space="preserve">EEC describes densification and magnetic-property development via sinter, solution, and aging processes conducted under vacuum or inert gas, which corresponds to the canonical Sm2Co17 (“2:17”) processing route requiring solution/aging to develop high coercivity and thermal stability. Downstream, EEC notes that sintered rare earth magnets are brittle and are machined to final dimensions using grinding, slicing, or wire EDM, and it also lists facility machining capabilities including WEDM, Ram EDM, CNC machining, grinders, and slicers. EEC further states that magnetization, stabilization, and testing are performed to satisfy customer requirements, implying that magnetization and verification are integrated into its finishing and quality flow for defense-grade deliverables.</w:t>
      </w:r>
    </w:p>
    <w:bookmarkStart w:id="23" w:name="finished-parts-and-assemblies"/>
    <w:p>
      <w:pPr>
        <w:pStyle w:val="Heading3"/>
      </w:pPr>
      <w:r>
        <w:t xml:space="preserve">Finished parts and assemblies</w:t>
      </w:r>
    </w:p>
    <w:p>
      <w:pPr>
        <w:pStyle w:val="FirstParagraph"/>
      </w:pPr>
      <w:r>
        <w:t xml:space="preserve">EEC positions itself as a supplier not only of magnets, but also of assemblies (e.g., rotor assemblies and traveling wave tube assemblies), which is consistent with delivering finished-to-print components and subassemblies into defense/aerospace system BOMs rather than only shipping sintered blocks.</w:t>
      </w:r>
    </w:p>
    <w:bookmarkEnd w:id="23"/>
    <w:bookmarkEnd w:id="24"/>
    <w:bookmarkStart w:id="25" w:name="products-and-grades"/>
    <w:p>
      <w:pPr>
        <w:pStyle w:val="Heading2"/>
      </w:pPr>
      <w:r>
        <w:t xml:space="preserve">Products and grades</w:t>
      </w:r>
    </w:p>
    <w:p>
      <w:pPr>
        <w:pStyle w:val="FirstParagraph"/>
      </w:pPr>
      <w:r>
        <w:t xml:space="preserve">EEC’s public materials emphasize multiple SmCo offerings, including a “34 Grade” SmCo and an “Ultra-High Temperature SmCo 2:17” family with operating temperatures up to 550°C. EEC also describes ultra-high temperature SmCo stability in the 400°C to 550°C range on its SmCo product materials, reinforcing the high-temperature defense niche for Sm2Co17-based magnet solutions.</w:t>
      </w:r>
    </w:p>
    <w:p>
      <w:pPr>
        <w:pStyle w:val="BodyText"/>
      </w:pPr>
      <w:r>
        <w:t xml:space="preserve">The table below compiles the numeric magnetic-property anchors available in EEC’s 34 Grade sell 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jc w:val="right"/>
            </w:pPr>
            <w:r>
              <w:t xml:space="preserve">EEC 2:17-34 (Sintered Sm2Co17)</w:t>
            </w:r>
          </w:p>
        </w:tc>
        <w:tc>
          <w:tcPr/>
          <w:p>
            <w:pPr>
              <w:pStyle w:val="Compact"/>
            </w:pPr>
            <w:r>
              <w:t xml:space="preserve">Source</w:t>
            </w:r>
          </w:p>
        </w:tc>
      </w:tr>
      <w:tr>
        <w:tc>
          <w:tcPr/>
          <w:p>
            <w:pPr>
              <w:pStyle w:val="Compact"/>
            </w:pPr>
            <w:r>
              <w:t xml:space="preserve">(BH)max</w:t>
            </w:r>
          </w:p>
        </w:tc>
        <w:tc>
          <w:tcPr/>
          <w:p>
            <w:pPr>
              <w:pStyle w:val="Compact"/>
              <w:jc w:val="right"/>
            </w:pPr>
            <w:r>
              <w:t xml:space="preserve">34 MGOe</w:t>
            </w:r>
          </w:p>
        </w:tc>
        <w:tc>
          <w:tcPr/>
          <w:p>
            <w:pPr>
              <w:pStyle w:val="Compact"/>
            </w:pPr>
            <w:r>
              <w:t xml:space="preserve">EEC 34 Grade sell sheet</w:t>
            </w:r>
          </w:p>
        </w:tc>
      </w:tr>
      <w:tr>
        <w:tc>
          <w:tcPr/>
          <w:p>
            <w:pPr>
              <w:pStyle w:val="Compact"/>
            </w:pPr>
            <w:r>
              <w:t xml:space="preserve">Br</w:t>
            </w:r>
          </w:p>
        </w:tc>
        <w:tc>
          <w:tcPr/>
          <w:p>
            <w:pPr>
              <w:pStyle w:val="Compact"/>
              <w:jc w:val="right"/>
            </w:pPr>
            <w:r>
              <w:t xml:space="preserve">11.9 kG</w:t>
            </w:r>
          </w:p>
        </w:tc>
        <w:tc>
          <w:tcPr/>
          <w:p>
            <w:pPr>
              <w:pStyle w:val="Compact"/>
            </w:pPr>
            <w:r>
              <w:t xml:space="preserve">EEC 34 Grade sell sheet</w:t>
            </w:r>
          </w:p>
        </w:tc>
      </w:tr>
      <w:tr>
        <w:tc>
          <w:tcPr/>
          <w:p>
            <w:pPr>
              <w:pStyle w:val="Compact"/>
            </w:pPr>
            <w:r>
              <w:t xml:space="preserve">Hc</w:t>
            </w:r>
          </w:p>
        </w:tc>
        <w:tc>
          <w:tcPr/>
          <w:p>
            <w:pPr>
              <w:pStyle w:val="Compact"/>
              <w:jc w:val="right"/>
            </w:pPr>
            <w:r>
              <w:t xml:space="preserve">11.1 kOe</w:t>
            </w:r>
          </w:p>
        </w:tc>
        <w:tc>
          <w:tcPr/>
          <w:p>
            <w:pPr>
              <w:pStyle w:val="Compact"/>
            </w:pPr>
            <w:r>
              <w:t xml:space="preserve">EEC 34 Grade sell sheet</w:t>
            </w:r>
          </w:p>
        </w:tc>
      </w:tr>
      <w:tr>
        <w:tc>
          <w:tcPr/>
          <w:p>
            <w:pPr>
              <w:pStyle w:val="Compact"/>
            </w:pPr>
            <w:r>
              <w:t xml:space="preserve">iHc (min)</w:t>
            </w:r>
          </w:p>
        </w:tc>
        <w:tc>
          <w:tcPr/>
          <w:p>
            <w:pPr>
              <w:pStyle w:val="Compact"/>
              <w:jc w:val="right"/>
            </w:pPr>
            <w:r>
              <w:t xml:space="preserve">18 kOe</w:t>
            </w:r>
          </w:p>
        </w:tc>
        <w:tc>
          <w:tcPr/>
          <w:p>
            <w:pPr>
              <w:pStyle w:val="Compact"/>
            </w:pPr>
            <w:r>
              <w:t xml:space="preserve">EEC 34 Grade sell sheet</w:t>
            </w:r>
          </w:p>
        </w:tc>
      </w:tr>
      <w:tr>
        <w:tc>
          <w:tcPr/>
          <w:p>
            <w:pPr>
              <w:pStyle w:val="Compact"/>
            </w:pPr>
            <w:r>
              <w:t xml:space="preserve">Max operating temperature</w:t>
            </w:r>
          </w:p>
        </w:tc>
        <w:tc>
          <w:tcPr/>
          <w:p>
            <w:pPr>
              <w:pStyle w:val="Compact"/>
              <w:jc w:val="right"/>
            </w:pPr>
            <w:r>
              <w:t xml:space="preserve">300°C</w:t>
            </w:r>
          </w:p>
        </w:tc>
        <w:tc>
          <w:tcPr/>
          <w:p>
            <w:pPr>
              <w:pStyle w:val="Compact"/>
            </w:pPr>
            <w:r>
              <w:t xml:space="preserve">EEC 34 Grade sell sheet</w:t>
            </w:r>
          </w:p>
        </w:tc>
      </w:tr>
      <w:tr>
        <w:tc>
          <w:tcPr/>
          <w:p>
            <w:pPr>
              <w:pStyle w:val="Compact"/>
            </w:pPr>
            <w:r>
              <w:t xml:space="preserve">DFARS status</w:t>
            </w:r>
          </w:p>
        </w:tc>
        <w:tc>
          <w:tcPr/>
          <w:p>
            <w:pPr>
              <w:pStyle w:val="Compact"/>
              <w:jc w:val="right"/>
            </w:pPr>
            <w:r>
              <w:t xml:space="preserve">“DFARS compliant”</w:t>
            </w:r>
          </w:p>
        </w:tc>
        <w:tc>
          <w:tcPr/>
          <w:p>
            <w:pPr>
              <w:pStyle w:val="Compact"/>
            </w:pPr>
            <w:r>
              <w:t xml:space="preserve">EEC 34 Grade sell sheet</w:t>
            </w:r>
          </w:p>
        </w:tc>
      </w:tr>
    </w:tbl>
    <w:p>
      <w:pPr>
        <w:pStyle w:val="BodyText"/>
      </w:pPr>
      <w:r>
        <w:t xml:space="preserve">EEC’s own stated application set for SmCo includes high-speed motors, generators and actuators, microwave signal amplification, and aircraft/aerospace assemblies, which map directly onto defense-relevant subsystems such as precision actuation, high-temperature motors/generators, and RF/microwave assemblies used in radar/EW architectures.</w:t>
      </w:r>
    </w:p>
    <w:bookmarkEnd w:id="25"/>
    <w:bookmarkStart w:id="27" w:name="machining-operations-and-waste-streams"/>
    <w:p>
      <w:pPr>
        <w:pStyle w:val="Heading2"/>
      </w:pPr>
      <w:r>
        <w:t xml:space="preserve">Machining operations and waste streams</w:t>
      </w:r>
    </w:p>
    <w:p>
      <w:pPr>
        <w:pStyle w:val="FirstParagraph"/>
      </w:pPr>
      <w:r>
        <w:t xml:space="preserve">EEC identifies multiple machining methods used for rare-earth magnets and associated hardware, including grinding, slicing, wire EDM (WEDM), and other precision machining equipment, and it explicitly notes that sintered rare earth magnets are brittle and therefore machined via these techniques to reach final dimensions. EEC also advertises in-house capabilities for wire EDM and precision machining when describing magnet assembly offerings, supporting the view that EEC performs significant downstream finishing internally rather than outsourcing all final machining.</w:t>
      </w:r>
    </w:p>
    <w:p>
      <w:pPr>
        <w:pStyle w:val="BodyText"/>
      </w:pPr>
      <w:r>
        <w:t xml:space="preserve">The available sources do not provide quantitative waste fractions (kerf loss, grinding sludge mass, scrap rates) or coolant chemistry details for EEC’s operations, so a deployment model must treat waste characterization as an early-stage data-gathering activity tied to the site’s documented machining and finishing process steps.</w:t>
      </w:r>
    </w:p>
    <w:bookmarkStart w:id="26" w:name="waste-stream-mapping-for-pilot-scoping"/>
    <w:p>
      <w:pPr>
        <w:pStyle w:val="Heading3"/>
      </w:pPr>
      <w:r>
        <w:t xml:space="preserve">Waste stream mapping for pilot scoping</w:t>
      </w:r>
    </w:p>
    <w:p>
      <w:pPr>
        <w:pStyle w:val="FirstParagraph"/>
      </w:pPr>
      <w:r>
        <w:t xml:space="preserve">A practical way to scope wastewater-relevant streams without assuming unreported values is to map them to EEC’s stated finishing operations (machining, magnetizing, testing, and shipping) and machining modalities (grinding, slicing, WEDM). For example, a pilot can explicitly segment sample points associated with (1) grinding operations, (2) EDM operations, and (3) post-machining magnetization/testing areas, because these are explicitly present in EEC’s documented capabilities and finishing operations.</w:t>
      </w:r>
    </w:p>
    <w:bookmarkEnd w:id="26"/>
    <w:bookmarkEnd w:id="27"/>
    <w:bookmarkStart w:id="28" w:name="wastewater-characterization"/>
    <w:p>
      <w:pPr>
        <w:pStyle w:val="Heading2"/>
      </w:pPr>
      <w:r>
        <w:t xml:space="preserve">Wastewater characterization</w:t>
      </w:r>
    </w:p>
    <w:p>
      <w:pPr>
        <w:pStyle w:val="FirstParagraph"/>
      </w:pPr>
      <w:r>
        <w:t xml:space="preserve">EEC’s sources establish that the company performs brittle-magnet machining (grinding, slicing, and wire EDM) and that it conducts magnetization, stabilization, and testing as part of its manufacturing flow, which are operations that typically drive industrial wastewater and residual streams that fall under local pretreatment programs when discharged to a POTW. For Lancaster County, LASA describes an approved Pretreatment Program, states that it issues Industrial User Permits for significant industrial users, and explains that “Local Limits” apply to industrial and other non-domestic facilities discharging to the treatment facility.</w:t>
      </w:r>
    </w:p>
    <w:p>
      <w:pPr>
        <w:pStyle w:val="BodyText"/>
      </w:pPr>
      <w:r>
        <w:t xml:space="preserve">At a permitting-interface level, publicly available Pennsylvania wastewater permitting resources emphasize the role of NPDES permits and associated documentation for identifying treatment processes and discharge limits for local facilities, and they direct users to the linked permit documents for specific POTW discharge limits. As an example of the kind of constraints that appear in local wastewater permits in Lancaster County, an NPDES permit for a Lancaster County WWTP shows a pH effluent range of 6.0 to 9.0 and provides design-capacity context, illustrating the type of effluent constraints that industrial pretreatment programs are designed to protect.</w:t>
      </w:r>
    </w:p>
    <w:bookmarkEnd w:id="28"/>
    <w:bookmarkStart w:id="29" w:name="local-regulatory-context"/>
    <w:p>
      <w:pPr>
        <w:pStyle w:val="Heading2"/>
      </w:pPr>
      <w:r>
        <w:t xml:space="preserve">Local regulatory context</w:t>
      </w:r>
    </w:p>
    <w:p>
      <w:pPr>
        <w:pStyle w:val="FirstParagraph"/>
      </w:pPr>
      <w:r>
        <w:t xml:space="preserve">Because EEC’s manufacturing footprint is located in Lancaster County (Landisville and Lancaster addresses), an on-site wastewater treatment and recovery deployment needs to be designed to align with a POTW pretreatment framework and any applicable industrial-user permitting requirements. LASA’s pretreatment program description emphasizes preventing the introduction of pollutants that could interfere with the POTW or contaminate resulting biosolids, which is directly relevant to any process that could generate metal-bearing residuals or sludges that would otherwise be discharged or hauled offsite.</w:t>
      </w:r>
    </w:p>
    <w:p>
      <w:pPr>
        <w:pStyle w:val="BodyText"/>
      </w:pPr>
      <w:r>
        <w:t xml:space="preserve">Pennsylvania DEP materials emphasize that permitted-facility reports and individual NPDES permit documents are the mechanism for obtaining permit details, and DEP guidance highlights that permit conditions and discharge limits for industrial wastewater discharges in Landisville are influenced by state procedures and by the local POTW.</w:t>
      </w:r>
    </w:p>
    <w:bookmarkEnd w:id="29"/>
    <w:bookmarkStart w:id="30" w:name="system-concept"/>
    <w:p>
      <w:pPr>
        <w:pStyle w:val="Heading2"/>
      </w:pPr>
      <w:r>
        <w:t xml:space="preserve">System concept</w:t>
      </w:r>
    </w:p>
    <w:p>
      <w:pPr>
        <w:pStyle w:val="FirstParagraph"/>
      </w:pPr>
      <w:r>
        <w:t xml:space="preserve">Any algae-based or bio-based treatment concept for EEC should be framed around EEC’s documented process reality, namely that the facility performs (a) alloying and sintered magnet production steps and (b) downstream machining, magnetization, stabilization, and testing in-house, all within a regulated defense supply chain with ITAR and quality-management certifications. EEC states it is ITAR compliant and DDTC registered and certified to AS9100D and ISO 9001:2015, which implies that any deployed wastewater system would need to be compatible with controlled-access production areas and auditable quality and compliance systems.</w:t>
      </w:r>
    </w:p>
    <w:p>
      <w:pPr>
        <w:pStyle w:val="BodyText"/>
      </w:pPr>
      <w:r>
        <w:t xml:space="preserve">Within those constraints, a deployment concept can be structured as a modular add-on to the existing finishing operations rather than a modification to EEC’s alloy/powder/sinter process flow, because EEC’s publicly described finishing operations already include machining and magnetization/testing, which are the most plausible touchpoints for wastewater-relevant streams at a magnet manufacturer.</w:t>
      </w:r>
    </w:p>
    <w:bookmarkEnd w:id="30"/>
    <w:bookmarkStart w:id="31" w:name="financial-model"/>
    <w:p>
      <w:pPr>
        <w:pStyle w:val="Heading2"/>
      </w:pPr>
      <w:r>
        <w:t xml:space="preserve">Financial model</w:t>
      </w:r>
    </w:p>
    <w:p>
      <w:pPr>
        <w:pStyle w:val="FirstParagraph"/>
      </w:pPr>
      <w:r>
        <w:t xml:space="preserve">A rigorous facility-specific financial model cannot be completed from the provided sources because EEC’s public materials do not disclose machining-waste volumes, coolant consumption, wastewater flow rates, or current disposal and treatment costs, even though they do document the presence of machining operations and finishing activities that would create those costs. A defensible approach is therefore to define a parametric model that uses measurable site inputs—such as hours of grinding/WEDM operation, mass of collected solids/residuals, and any applicable industrial-user permit fees or surcharges—rather than attempting to infer costs from unreported values.</w:t>
      </w:r>
    </w:p>
    <w:p>
      <w:pPr>
        <w:pStyle w:val="BodyText"/>
      </w:pPr>
      <w:r>
        <w:t xml:space="preserve">To remain aligned with local regulatory reality, the model should also include a compliance cost/benefit component based on industrial-user permitting and local limits under the applicable pretreatment program, because LASA explicitly regulates significant industrial users and sets local limits for industrial dischargers to the POTW.</w:t>
      </w:r>
    </w:p>
    <w:bookmarkEnd w:id="31"/>
    <w:bookmarkStart w:id="32" w:name="strategic-value"/>
    <w:p>
      <w:pPr>
        <w:pStyle w:val="Heading2"/>
      </w:pPr>
      <w:r>
        <w:t xml:space="preserve">Strategic value</w:t>
      </w:r>
    </w:p>
    <w:p>
      <w:pPr>
        <w:pStyle w:val="FirstParagraph"/>
      </w:pPr>
      <w:r>
        <w:t xml:space="preserve">EEC’s strategic value to defense supply chains is rooted in its position as a U.S. SmCo producer with ITAR and DFARS compliance claims and in its vertically integrated capability for SmCo alloy and magnet production, including in-house production of SmCo 1:5 and 2:17 alloys from elemental feedstocks. Public materials also emphasize Permag/EEC’s investment in expanding alloying, pressing, and fabrication equipment and “more than doubling” production capacity, which indicates a growth trajectory that can increase the volume and operational importance of downstream finishing activities over time.</w:t>
      </w:r>
    </w:p>
    <w:p>
      <w:pPr>
        <w:pStyle w:val="BodyText"/>
      </w:pPr>
      <w:r>
        <w:t xml:space="preserve">For an on-site wastewater treatment and recovery system provider, the strategic engagement thesis is that a defense-critical, vertically integrated SmCo producer with in-house machining and magnetization/testing presents an opportunity to (1) reduce compliance risk under industrial pretreatment/local limits and (2) create a traceable pathway for managing metal-bearing residuals within a controlled, auditable environment consistent with ITAR and AS9100-quality expectations.</w:t>
      </w:r>
    </w:p>
    <w:bookmarkEnd w:id="32"/>
    <w:bookmarkStart w:id="33" w:name="pilot-proposal"/>
    <w:p>
      <w:pPr>
        <w:pStyle w:val="Heading2"/>
      </w:pPr>
      <w:r>
        <w:t xml:space="preserve">Pilot proposal</w:t>
      </w:r>
    </w:p>
    <w:p>
      <w:pPr>
        <w:pStyle w:val="FirstParagraph"/>
      </w:pPr>
      <w:r>
        <w:t xml:space="preserve">A pilot program at EEC should be scoped first around (a) EEC’s documented finishing operations (machining, magnetization/stabilization/testing) and (b) the local pretreatment program and industrial-user permitting framework, because these are the best-supported operational and regulatory anchors in the provided sources. The pilot should also explicitly include a sampling and analysis plan that links any measured wastewaters or residuals to the specific machining modalities EEC lists (e.g., grinders and WEDM), because these modalities are directly stated in EEC’s manufacturing capability descriptions.</w:t>
      </w:r>
    </w:p>
    <w:p>
      <w:pPr>
        <w:pStyle w:val="BodyText"/>
      </w:pPr>
      <w:r>
        <w:t xml:space="preserve">To ensure the pilot is implementable, the engagement should incorporate early coordination with the relevant local pretreatment authority, since LASA’s program issues Industrial User Permits for significant industrial users and enforces local limits on industrial discharges to its POTW.</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