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Xaf6851e9f31e2fd73ff40220d532cb8a6743a51"/>
    <w:p>
      <w:pPr>
        <w:pStyle w:val="Heading1"/>
      </w:pPr>
      <w:r>
        <w:t xml:space="preserve">Algamol Deployment Model: Vacuumschmelze (VAC) Sumter SC - New US Magnet Production Plant</w:t>
      </w:r>
    </w:p>
    <w:bookmarkStart w:id="20" w:name="summary"/>
    <w:p>
      <w:pPr>
        <w:pStyle w:val="Heading2"/>
      </w:pPr>
      <w:r>
        <w:t xml:space="preserve">Summary</w:t>
      </w:r>
    </w:p>
    <w:p>
      <w:pPr>
        <w:pStyle w:val="FirstParagraph"/>
      </w:pPr>
      <w:r>
        <w:t xml:space="preserve">Vacuumschmelze (VAC Group) is a Germany-based rare-earth permanent magnet producer headquartered in Hanau (Grüner Weg 37, D-63450 Hanau) and described as a global producer of advanced magnetic solutions and rare-earth permanent magnets. The company reports significant global scale (nearly 4,000 employees) and multiple production facilities, while also highlighting vertical-integration capability “from base element to end product.”</w:t>
      </w:r>
    </w:p>
    <w:p>
      <w:pPr>
        <w:pStyle w:val="BodyText"/>
      </w:pPr>
      <w:r>
        <w:t xml:space="preserve">VAC’s U.S. expansion is executed through eVAC Magnetics LLC, a VAC Group subsidiary that built a new rare-earth permanent magnet manufacturing facility in Sumter County, South Carolina (Pocotaligo Industrial Park). Public reporting places operations coming online in late autumn 2025 / end of 2025 and describes the facility as having begun shipments after opening in November 2025. Public sources also describe a production capacity target on the order of ~1,600–2,000 metric tons per year (with various documents citing “up to 1,600 MT” NdFeB magnet capacity and “just under 2,000 metric tons a year,” and local reporting stating 2,000 metric tons/year by spring 2026).</w:t>
      </w:r>
    </w:p>
    <w:p>
      <w:pPr>
        <w:pStyle w:val="BodyText"/>
      </w:pPr>
      <w:r>
        <w:t xml:space="preserve">The Sumter facility is positioned as a dual-use asset supporting both commercial and military demand, with multiple sources explicitly linking the plant to magnets used in defense applications (including F-35 and UAVs) and to domestic supply chain resilience objectives. The plant’s business model and capital stack are strongly shaped by public incentives and national-security-linked funding, including a reported $94.1 million U.S. Department of Defense agreement for manufacturing equipment and production line engineering and a $111.9 million federal tax credit (Section 48c).</w:t>
      </w:r>
    </w:p>
    <w:bookmarkEnd w:id="20"/>
    <w:bookmarkStart w:id="21" w:name="company"/>
    <w:p>
      <w:pPr>
        <w:pStyle w:val="Heading2"/>
      </w:pPr>
      <w:r>
        <w:t xml:space="preserve">Company</w:t>
      </w:r>
    </w:p>
    <w:p>
      <w:pPr>
        <w:pStyle w:val="FirstParagraph"/>
      </w:pPr>
      <w:r>
        <w:t xml:space="preserve">VAC Group is described as a leading global producer of advanced magnetic solutions, rare earth permanent magnets, and inductive components, with corporate operations based in Hanau, Germany. VAC reports a broad manufacturing footprint (facilities in Finland, Slovakia, China, and Malaysia) and maintains a model in which different plants are optimized for different product groups and scales (e.g., small-series precision work vs. flexible, partially automated production).</w:t>
      </w:r>
    </w:p>
    <w:p>
      <w:pPr>
        <w:pStyle w:val="BodyText"/>
      </w:pPr>
      <w:r>
        <w:t xml:space="preserve">VAC’s permanent-magnet portfolio is branded around VACOMAX (SmCo) and VACODYM (NdFeB), and the company states it has produced VACOMAX SmCo magnets (powder-metallurgical) since 1973 and VACODYM NdFeB magnets at industrial scale since 1986. VAC also links its aerospace/defense market access to quality management standards, including AS9100/EN 9100 (with EN 9100 referenced as a certification basis for permanent magnets).</w:t>
      </w:r>
    </w:p>
    <w:p>
      <w:pPr>
        <w:pStyle w:val="BodyText"/>
      </w:pPr>
      <w:r>
        <w:t xml:space="preserve">Ownership has shifted recently, with multiple sources stating VAC was acquired by Ara Partners in October 2023.</w:t>
      </w:r>
    </w:p>
    <w:bookmarkEnd w:id="21"/>
    <w:bookmarkStart w:id="22" w:name="facility"/>
    <w:p>
      <w:pPr>
        <w:pStyle w:val="Heading2"/>
      </w:pPr>
      <w:r>
        <w:t xml:space="preserve">Facility</w:t>
      </w:r>
    </w:p>
    <w:p>
      <w:pPr>
        <w:pStyle w:val="FirstParagraph"/>
      </w:pPr>
      <w:r>
        <w:t xml:space="preserve">The eVAC Magnetics Sumter facility is located in the Pocotaligo Industrial Park in Sumter County, South Carolina, and multiple announcements describe the project as a “more than half a billion-dollar investment,” with reported capital investment of $506 million and planned creation of about 300 jobs. One local report describes the plant footprint as 410,000 square feet on 83 acres, while other public announcements describe the project site as 85 acres.</w:t>
      </w:r>
    </w:p>
    <w:p>
      <w:pPr>
        <w:pStyle w:val="BodyText"/>
      </w:pPr>
      <w:r>
        <w:t xml:space="preserve">Public timelines consistently place the facility’s operational start in late 2025 (e.g., “online in late autumn 2025,” “complete in late fall 2025,” and “come online in the second half of 2025”). A later local report states the facility opened in November 2025 and shipped its first NdFeB permanent magnets to customers.</w:t>
      </w:r>
    </w:p>
    <w:p>
      <w:pPr>
        <w:pStyle w:val="BodyText"/>
      </w:pPr>
      <w:r>
        <w:t xml:space="preserve">Capacity is reported in several ways. Local reporting states the facility will reach a 2,000-metric-ton annual production capacity by spring 2026 and may scale output substantially thereafter. A separate policy-focused document states the magnet-making facility will be able to produce up to 1,600 metric tons of NdFeB permanent magnets, and notes a potential expansion to 4,000 metric tons within 12–18 months after start-up (conditional on agreements and lead times).</w:t>
      </w:r>
    </w:p>
    <w:bookmarkEnd w:id="22"/>
    <w:bookmarkStart w:id="23" w:name="products"/>
    <w:p>
      <w:pPr>
        <w:pStyle w:val="Heading2"/>
      </w:pPr>
      <w:r>
        <w:t xml:space="preserve">Products</w:t>
      </w:r>
    </w:p>
    <w:p>
      <w:pPr>
        <w:pStyle w:val="FirstParagraph"/>
      </w:pPr>
      <w:r>
        <w:t xml:space="preserve">Public reporting and VAC communications identify the Sumter facility as producing high-performance rare-earth permanent magnets, including NdFeB and (in some reporting) SmCo types, with end-markets spanning EV traction motors and defense applications. Multiple sources also describe the facility as producing NdFeB magnets specifically and link those magnets to automotive and defense use cases.</w:t>
      </w:r>
    </w:p>
    <w:p>
      <w:pPr>
        <w:pStyle w:val="BodyText"/>
      </w:pPr>
      <w:r>
        <w:t xml:space="preserve">At the corporate product-family level, VACODYM magnets are NdFeB-based (neodymium-iron-boron alloy basis) and are described as “highest energy density” grades, while VACOMAX magnets are rare-earth–cobalt (SmCo-class) and described as high-coercivity, temperature-stable magnets with corrosion stability benefits.</w:t>
      </w:r>
    </w:p>
    <w:bookmarkEnd w:id="23"/>
    <w:bookmarkStart w:id="24" w:name="grades"/>
    <w:p>
      <w:pPr>
        <w:pStyle w:val="Heading2"/>
      </w:pPr>
      <w:r>
        <w:t xml:space="preserve">Grades</w:t>
      </w:r>
    </w:p>
    <w:p>
      <w:pPr>
        <w:pStyle w:val="FirstParagraph"/>
      </w:pPr>
      <w:r>
        <w:t xml:space="preserve">VAC’s NdFeB portfolio includes VACODYM 902 TP, which VAC describes as heavy-rare-earth-free and manufactured entirely in the Western Hemisphere. A VAC press release on the VACODYM 902 TP family reports room-temperature remanence of at least 1.40 T and coercivity of at least 1190 kA/m for VACODYM 902 TP.</w:t>
      </w:r>
    </w:p>
    <w:p>
      <w:pPr>
        <w:pStyle w:val="BodyText"/>
      </w:pPr>
      <w:r>
        <w:t xml:space="preserve">VAC’s VACODYM product family page reports (across grades) Br minimum ranges of 1.03–1.42 T and typical (BH)max of 225–415 kJ/m³, and notes that an established grain boundary diffusion process can increase coercivity up to a maximum of 600 kA/m (for applicable magnets).</w:t>
      </w:r>
    </w:p>
    <w:p>
      <w:pPr>
        <w:pStyle w:val="BodyText"/>
      </w:pPr>
      <w:r>
        <w:t xml:space="preserve">For SmCo, a trade source describing VAC’s permanent magnet capabilities notes that Vacomax sintered SmCo alloys are used in high-performance rotors and cites Vacomax 262 HRP as enabling application temperatures up to 250 °C in a rotor system context.</w:t>
      </w:r>
    </w:p>
    <w:p>
      <w:pPr>
        <w:pStyle w:val="BodyText"/>
      </w:pPr>
      <w:r>
        <w:t xml:space="preserve">The table below summarizes publicly stated grade-level performance anchors that are relevant for high-reliability motor, actuator, and defense/aerospace applications.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Product family</w:t>
            </w:r>
          </w:p>
        </w:tc>
        <w:tc>
          <w:tcPr/>
          <w:p>
            <w:pPr>
              <w:pStyle w:val="Compact"/>
            </w:pPr>
            <w:r>
              <w:t xml:space="preserve">Magnet type</w:t>
            </w:r>
          </w:p>
        </w:tc>
        <w:tc>
          <w:tcPr/>
          <w:p>
            <w:pPr>
              <w:pStyle w:val="Compact"/>
            </w:pPr>
            <w:r>
              <w:t xml:space="preserve">Example grade</w:t>
            </w:r>
          </w:p>
        </w:tc>
        <w:tc>
          <w:tcPr/>
          <w:p>
            <w:pPr>
              <w:pStyle w:val="Compact"/>
            </w:pPr>
            <w:r>
              <w:t xml:space="preserve">Public performance anchors</w:t>
            </w:r>
          </w:p>
        </w:tc>
        <w:tc>
          <w:tcPr/>
          <w:p>
            <w:pPr>
              <w:pStyle w:val="Compact"/>
            </w:pPr>
            <w:r>
              <w:t xml:space="preserve">Notes for defense procurement relevance</w:t>
            </w:r>
          </w:p>
        </w:tc>
      </w:tr>
      <w:tr>
        <w:tc>
          <w:tcPr/>
          <w:p>
            <w:pPr>
              <w:pStyle w:val="Compact"/>
            </w:pPr>
            <w:r>
              <w:t xml:space="preserve">VACODYM</w:t>
            </w:r>
          </w:p>
        </w:tc>
        <w:tc>
          <w:tcPr/>
          <w:p>
            <w:pPr>
              <w:pStyle w:val="Compact"/>
            </w:pPr>
            <w:r>
              <w:t xml:space="preserve">NdFeB</w:t>
            </w:r>
          </w:p>
        </w:tc>
        <w:tc>
          <w:tcPr/>
          <w:p>
            <w:pPr>
              <w:pStyle w:val="Compact"/>
            </w:pPr>
            <w:r>
              <w:t xml:space="preserve">VACODYM 902 TP</w:t>
            </w:r>
          </w:p>
        </w:tc>
        <w:tc>
          <w:tcPr/>
          <w:p>
            <w:pPr>
              <w:pStyle w:val="Compact"/>
            </w:pPr>
            <w:r>
              <w:t xml:space="preserve">Br ≥ 1.40 T; Hc ≥ 1190 kA/m (reported for 902 TP)</w:t>
            </w:r>
          </w:p>
        </w:tc>
        <w:tc>
          <w:tcPr/>
          <w:p>
            <w:pPr>
              <w:pStyle w:val="Compact"/>
            </w:pPr>
            <w:r>
              <w:t xml:space="preserve">Marketed as heavy-rare-earth-free and made in the Western Hemisphere</w:t>
            </w:r>
          </w:p>
        </w:tc>
      </w:tr>
      <w:tr>
        <w:tc>
          <w:tcPr/>
          <w:p>
            <w:pPr>
              <w:pStyle w:val="Compact"/>
            </w:pPr>
            <w:r>
              <w:t xml:space="preserve">VACODYM</w:t>
            </w:r>
          </w:p>
        </w:tc>
        <w:tc>
          <w:tcPr/>
          <w:p>
            <w:pPr>
              <w:pStyle w:val="Compact"/>
            </w:pPr>
            <w:r>
              <w:t xml:space="preserve">NdFeB</w:t>
            </w:r>
          </w:p>
        </w:tc>
        <w:tc>
          <w:tcPr/>
          <w:p>
            <w:pPr>
              <w:pStyle w:val="Compact"/>
            </w:pPr>
            <w:r>
              <w:t xml:space="preserve">Family ranges</w:t>
            </w:r>
          </w:p>
        </w:tc>
        <w:tc>
          <w:tcPr/>
          <w:p>
            <w:pPr>
              <w:pStyle w:val="Compact"/>
            </w:pPr>
            <w:r>
              <w:t xml:space="preserve">Br min 1.03–1.42 T; (BH)max typ 225–415 kJ/m³; grain boundary diffusion can raise coercivity up to 600 kA/m</w:t>
            </w:r>
          </w:p>
        </w:tc>
        <w:tc>
          <w:tcPr/>
          <w:p>
            <w:pPr>
              <w:pStyle w:val="Compact"/>
            </w:pPr>
            <w:r>
              <w:t xml:space="preserve">Process options cited that are commonly associated with high-coercivity/high-temp NdFeB needs</w:t>
            </w:r>
          </w:p>
        </w:tc>
      </w:tr>
      <w:tr>
        <w:tc>
          <w:tcPr/>
          <w:p>
            <w:pPr>
              <w:pStyle w:val="Compact"/>
            </w:pPr>
            <w:r>
              <w:t xml:space="preserve">VACOMAX / Vacomax</w:t>
            </w:r>
          </w:p>
        </w:tc>
        <w:tc>
          <w:tcPr/>
          <w:p>
            <w:pPr>
              <w:pStyle w:val="Compact"/>
            </w:pPr>
            <w:r>
              <w:t xml:space="preserve">SmCo</w:t>
            </w:r>
          </w:p>
        </w:tc>
        <w:tc>
          <w:tcPr/>
          <w:p>
            <w:pPr>
              <w:pStyle w:val="Compact"/>
            </w:pPr>
            <w:r>
              <w:t xml:space="preserve">Vacomax 262 HRP</w:t>
            </w:r>
          </w:p>
        </w:tc>
        <w:tc>
          <w:tcPr/>
          <w:p>
            <w:pPr>
              <w:pStyle w:val="Compact"/>
            </w:pPr>
            <w:r>
              <w:t xml:space="preserve">Application temperatures up to 250 °C in cited rotor context</w:t>
            </w:r>
          </w:p>
        </w:tc>
        <w:tc>
          <w:tcPr/>
          <w:p>
            <w:pPr>
              <w:pStyle w:val="Compact"/>
            </w:pPr>
            <w:r>
              <w:t xml:space="preserve">SmCo is frequently positioned for high-temperature, high-reliability duty cycles in aerospace/defense motors</w:t>
            </w:r>
          </w:p>
        </w:tc>
      </w:tr>
    </w:tbl>
    <w:bookmarkEnd w:id="24"/>
    <w:bookmarkStart w:id="25" w:name="manufacturing"/>
    <w:p>
      <w:pPr>
        <w:pStyle w:val="Heading2"/>
      </w:pPr>
      <w:r>
        <w:t xml:space="preserve">Manufacturing</w:t>
      </w:r>
    </w:p>
    <w:p>
      <w:pPr>
        <w:pStyle w:val="FirstParagraph"/>
      </w:pPr>
      <w:r>
        <w:t xml:space="preserve">VAC’s NdFeB manufacturing is described (at the product-family level) as powder-metallurgical and sintering-based, with production routes that depend on form factors and tolerances and can involve larger isostatically pressed blocks or die-pressed parts. The same source describes die-press alignment as using strong magnetic fields oriented parallel (axial) or perpendicular (transverse) to the pressing direction depending on geometry and grade family (AP vs TP).</w:t>
      </w:r>
    </w:p>
    <w:p>
      <w:pPr>
        <w:pStyle w:val="BodyText"/>
      </w:pPr>
      <w:r>
        <w:t xml:space="preserve">At the enterprise level, VAC describes itself as vertically integrated, with statements that it can “design and manufacture from base element to end product” and that it is “extensively vertically integrated.” A technical brochure further states VAC can perform processing steps in-house, ranging from vacuum melting of alloys through coating and magnetization, assembly, and final inspection (with those statements made specifically about VAC’s established European operations).</w:t>
      </w:r>
    </w:p>
    <w:p>
      <w:pPr>
        <w:pStyle w:val="BodyText"/>
      </w:pPr>
      <w:r>
        <w:t xml:space="preserve">For Sumter specifically, one policy-focused description frames the facility as “onshoring the NdFeB permanent magnet supply chain” and states the magnet plant will produce up to 1,600 MT NdFeB magnets and is supported by DoD Title III Defense Production Act authorities. The same source states that a next-phase, co-located metal- and alloy-making facility is planned to produce rare earth metals and strip cast alloys, with capacity up to 2,000 MT of magnet alloy annually starting in early 2027 (sized to support the 1,600 MT magnet plant).</w:t>
      </w:r>
    </w:p>
    <w:bookmarkEnd w:id="25"/>
    <w:bookmarkStart w:id="26" w:name="compliance"/>
    <w:p>
      <w:pPr>
        <w:pStyle w:val="Heading2"/>
      </w:pPr>
      <w:r>
        <w:t xml:space="preserve">Compliance</w:t>
      </w:r>
    </w:p>
    <w:p>
      <w:pPr>
        <w:pStyle w:val="FirstParagraph"/>
      </w:pPr>
      <w:r>
        <w:t xml:space="preserve">The Sumter facility is repeatedly positioned as a contribution to a resilient, U.S.-based rare-earth permanent magnet supply chain and a step toward reducing dependence on China for rare-earth magnet production. A policy-focused document states that eVAC’s vertically integrated campus would “eliminate reliance on foreign sources — particularly China” by processing non-Chinese rare earth oxides into finished magnets and explicitly links this to “compliance with … DFARS 225.7018,” with a 2027 deadline for excluding adversarial sourcing for NdFeB-containing defense components.</w:t>
      </w:r>
    </w:p>
    <w:p>
      <w:pPr>
        <w:pStyle w:val="BodyText"/>
      </w:pPr>
      <w:r>
        <w:t xml:space="preserve">In parallel, DFARS rules (as published on acquisition.gov) state that effective January 1, 2027 contractors shall not deliver “covered material” mined/refined/separated/melted/produced in “any covered country,” and also include an exception for NdFeB magnets manufactured from recycled material if milling and sintering occur in the United States. DFARS also specifies that for samarium-cobalt magnets, the restriction includes the entire supply chain from mining (including recycled material) through production of finished magnets, except as provided by additional exceptions.</w:t>
      </w:r>
    </w:p>
    <w:p>
      <w:pPr>
        <w:pStyle w:val="BodyText"/>
      </w:pPr>
      <w:r>
        <w:t xml:space="preserve">VAC also publicly positions itself as compliant with U.S. and EU regulatory expectations, including DFARS and ITAR (as a general compliance statement) and lists quality certifications such as DIN EN ISO 9001:2015 and EN 9100:2018 in corporate materials.</w:t>
      </w:r>
    </w:p>
    <w:bookmarkEnd w:id="26"/>
    <w:bookmarkStart w:id="27" w:name="waste"/>
    <w:p>
      <w:pPr>
        <w:pStyle w:val="Heading2"/>
      </w:pPr>
      <w:r>
        <w:t xml:space="preserve">Waste</w:t>
      </w:r>
    </w:p>
    <w:p>
      <w:pPr>
        <w:pStyle w:val="FirstParagraph"/>
      </w:pPr>
      <w:r>
        <w:t xml:space="preserve">Public documentation indicates the Sumter facility is expected to generate magnet production by-products, explicitly described as “swarf,” and VAC has contracted for recycling of these by-products. A Cyclic Materials announcement states that VAC and Cyclic signed a 10-year exclusive agreement to recycle 100% of the magnet production by-products (swarf) produced at the Sumter facility, which was described as scheduled to begin operations at the end of 2025. The same announcement states VAC has an option to reintegrate recycled mixed rare earth oxides (rMREOs) from Cyclic into its own production processes, connecting manufacturing waste streams to a circular feedstock pathway.</w:t>
      </w:r>
    </w:p>
    <w:p>
      <w:pPr>
        <w:pStyle w:val="BodyText"/>
      </w:pPr>
      <w:r>
        <w:t xml:space="preserve">Separate reporting similarly notes a long-duration recycling agreement to process byproducts from the Sumter facility, reinforcing that by-product handling is part of the operating model rather than an afterthought. In addition, local reporting indicates the plant includes quality control areas and automated/robotic inspection operations, consistent with a facility designed for tightly controlled product outputs where scrap and rework streams can be material (even though public sources do not quantify scrap rates).</w:t>
      </w:r>
    </w:p>
    <w:p>
      <w:pPr>
        <w:pStyle w:val="BodyText"/>
      </w:pPr>
      <w:r>
        <w:t xml:space="preserve">At the corporate capability level (not necessarily Sumter-specific), VAC describes advanced machining for magnetic materials—including wire EDM and grinding—to meet stringent specifications, and also references EDM-based production approaches in its manufacturing capability descriptions.</w:t>
      </w:r>
    </w:p>
    <w:bookmarkEnd w:id="27"/>
    <w:bookmarkStart w:id="28" w:name="algamol-fit"/>
    <w:p>
      <w:pPr>
        <w:pStyle w:val="Heading2"/>
      </w:pPr>
      <w:r>
        <w:t xml:space="preserve">Algamol fit</w:t>
      </w:r>
    </w:p>
    <w:p>
      <w:pPr>
        <w:pStyle w:val="FirstParagraph"/>
      </w:pPr>
      <w:r>
        <w:t xml:space="preserve">The public record demonstrates that (1) Sumter is intended to be a high-volume rare-earth magnet manufacturing site, (2) its by-products (swarf) are explicitly anticipated, and (3) there is already a contractual pathway to collect and recycle those by-products in North America. These three points define the minimum integration boundary conditions for any onsite water, coolant, or effluent treatment system intended to capture value from magnet-making waste streams at Sumter.</w:t>
      </w:r>
    </w:p>
    <w:p>
      <w:pPr>
        <w:pStyle w:val="BodyText"/>
      </w:pPr>
      <w:r>
        <w:t xml:space="preserve">State and local incentives explicitly included “water and wastewater improvements” as eligible project-support uses, indicating that water and wastewater infrastructure is a recognized part of the site build-out and may be adaptable for future add-on treatment or capture systems (without implying any particular technology choice).</w:t>
      </w:r>
    </w:p>
    <w:bookmarkEnd w:id="28"/>
    <w:bookmarkStart w:id="29" w:name="financial-model"/>
    <w:p>
      <w:pPr>
        <w:pStyle w:val="Heading2"/>
      </w:pPr>
      <w:r>
        <w:t xml:space="preserve">Financial model</w:t>
      </w:r>
    </w:p>
    <w:p>
      <w:pPr>
        <w:pStyle w:val="FirstParagraph"/>
      </w:pPr>
      <w:r>
        <w:t xml:space="preserve">A facility-specific financial model for Sumter must start from the disclosed project economics and public co-investments. Multiple sources describe the project as a more-than-half-billion-dollar investment, with one local report stating $506 million in capital investment for the site. Public incentives and federal support include a $111.9 million Section 48c Qualifying Advanced Energy Project Tax Credit, and a DoD agreement reported as $94.1 million to acquire/install manufacturing equipment, operationalize technical infrastructure, and engineer production lines.</w:t>
      </w:r>
    </w:p>
    <w:p>
      <w:pPr>
        <w:pStyle w:val="BodyText"/>
      </w:pPr>
      <w:r>
        <w:t xml:space="preserve">A Reuters-syndicated business report states VAC received about $200 million in U.S. government funding and tax credits to build a $500 million plant and states the Sumter plant’s capacity is just under 2,000 metric tons per year, with up to 90% of output going to General Motors and the remainder supplying the U.S. Department of Defense.</w:t>
      </w:r>
    </w:p>
    <w:p>
      <w:pPr>
        <w:pStyle w:val="BodyText"/>
      </w:pPr>
      <w:r>
        <w:t xml:space="preserve">The table below consolidates publicly stated facility-scale financial anchors and support mechanisms.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Category</w:t>
            </w:r>
          </w:p>
        </w:tc>
        <w:tc>
          <w:tcPr/>
          <w:p>
            <w:pPr>
              <w:pStyle w:val="Compact"/>
              <w:jc w:val="right"/>
            </w:pPr>
            <w:r>
              <w:t xml:space="preserve">Publicly stated figure</w:t>
            </w:r>
          </w:p>
        </w:tc>
        <w:tc>
          <w:tcPr/>
          <w:p>
            <w:pPr>
              <w:pStyle w:val="Compact"/>
            </w:pPr>
            <w:r>
              <w:t xml:space="preserve">Notes</w:t>
            </w:r>
          </w:p>
        </w:tc>
      </w:tr>
      <w:tr>
        <w:tc>
          <w:tcPr/>
          <w:p>
            <w:pPr>
              <w:pStyle w:val="Compact"/>
            </w:pPr>
            <w:r>
              <w:t xml:space="preserve">Capital investment</w:t>
            </w:r>
          </w:p>
        </w:tc>
        <w:tc>
          <w:tcPr/>
          <w:p>
            <w:pPr>
              <w:pStyle w:val="Compact"/>
              <w:jc w:val="right"/>
            </w:pPr>
            <w:r>
              <w:t xml:space="preserve">$506M</w:t>
            </w:r>
          </w:p>
        </w:tc>
        <w:tc>
          <w:tcPr/>
          <w:p>
            <w:pPr>
              <w:pStyle w:val="Compact"/>
            </w:pPr>
            <w:r>
              <w:t xml:space="preserve">Local reporting of total capital investment for Sumter</w:t>
            </w:r>
          </w:p>
        </w:tc>
      </w:tr>
      <w:tr>
        <w:tc>
          <w:tcPr/>
          <w:p>
            <w:pPr>
              <w:pStyle w:val="Compact"/>
            </w:pPr>
            <w:r>
              <w:t xml:space="preserve">Federal tax credit</w:t>
            </w:r>
          </w:p>
        </w:tc>
        <w:tc>
          <w:tcPr/>
          <w:p>
            <w:pPr>
              <w:pStyle w:val="Compact"/>
              <w:jc w:val="right"/>
            </w:pPr>
            <w:r>
              <w:t xml:space="preserve">$111.9M (Section 48c)</w:t>
            </w:r>
          </w:p>
        </w:tc>
        <w:tc>
          <w:tcPr/>
          <w:p>
            <w:pPr>
              <w:pStyle w:val="Compact"/>
            </w:pPr>
            <w:r>
              <w:t xml:space="preserve">Described as a Qualifying Advanced Energy Project Tax Credit supporting construction</w:t>
            </w:r>
          </w:p>
        </w:tc>
      </w:tr>
      <w:tr>
        <w:tc>
          <w:tcPr/>
          <w:p>
            <w:pPr>
              <w:pStyle w:val="Compact"/>
            </w:pPr>
            <w:r>
              <w:t xml:space="preserve">DoD agreement support</w:t>
            </w:r>
          </w:p>
        </w:tc>
        <w:tc>
          <w:tcPr/>
          <w:p>
            <w:pPr>
              <w:pStyle w:val="Compact"/>
              <w:jc w:val="right"/>
            </w:pPr>
            <w:r>
              <w:t xml:space="preserve">$94.1M</w:t>
            </w:r>
          </w:p>
        </w:tc>
        <w:tc>
          <w:tcPr/>
          <w:p>
            <w:pPr>
              <w:pStyle w:val="Compact"/>
            </w:pPr>
            <w:r>
              <w:t xml:space="preserve">Described as funding for equipment, infrastructure, and engineering production lines</w:t>
            </w:r>
          </w:p>
        </w:tc>
      </w:tr>
      <w:tr>
        <w:tc>
          <w:tcPr/>
          <w:p>
            <w:pPr>
              <w:pStyle w:val="Compact"/>
            </w:pPr>
            <w:r>
              <w:t xml:space="preserve">State/local infrastructure support</w:t>
            </w:r>
          </w:p>
        </w:tc>
        <w:tc>
          <w:tcPr/>
          <w:p>
            <w:pPr>
              <w:pStyle w:val="Compact"/>
              <w:jc w:val="right"/>
            </w:pPr>
            <w:r>
              <w:t xml:space="preserve">$13M Rural Infrastructure Fund grant; $2M LocateSC grant</w:t>
            </w:r>
          </w:p>
        </w:tc>
        <w:tc>
          <w:tcPr/>
          <w:p>
            <w:pPr>
              <w:pStyle w:val="Compact"/>
            </w:pPr>
            <w:r>
              <w:t xml:space="preserve">Explicitly includes “water and wastewater improvements” among eligible uses</w:t>
            </w:r>
          </w:p>
        </w:tc>
      </w:tr>
      <w:tr>
        <w:tc>
          <w:tcPr/>
          <w:p>
            <w:pPr>
              <w:pStyle w:val="Compact"/>
            </w:pPr>
            <w:r>
              <w:t xml:space="preserve">Capacity anchor</w:t>
            </w:r>
          </w:p>
        </w:tc>
        <w:tc>
          <w:tcPr/>
          <w:p>
            <w:pPr>
              <w:pStyle w:val="Compact"/>
              <w:jc w:val="right"/>
            </w:pPr>
            <w:r>
              <w:t xml:space="preserve">Up to 1,600 MT/year NdFeB magnets</w:t>
            </w:r>
          </w:p>
        </w:tc>
        <w:tc>
          <w:tcPr/>
          <w:p>
            <w:pPr>
              <w:pStyle w:val="Compact"/>
            </w:pPr>
            <w:r>
              <w:t xml:space="preserve">Policy-focused description of magnet-plant capacity</w:t>
            </w:r>
          </w:p>
        </w:tc>
      </w:tr>
      <w:tr>
        <w:tc>
          <w:tcPr/>
          <w:p>
            <w:pPr>
              <w:pStyle w:val="Compact"/>
            </w:pPr>
            <w:r>
              <w:t xml:space="preserve">Capacity anchor</w:t>
            </w:r>
          </w:p>
        </w:tc>
        <w:tc>
          <w:tcPr/>
          <w:p>
            <w:pPr>
              <w:pStyle w:val="Compact"/>
              <w:jc w:val="right"/>
            </w:pPr>
            <w:r>
              <w:t xml:space="preserve">Just under 2,000 metric tons/year</w:t>
            </w:r>
          </w:p>
        </w:tc>
        <w:tc>
          <w:tcPr/>
          <w:p>
            <w:pPr>
              <w:pStyle w:val="Compact"/>
            </w:pPr>
            <w:r>
              <w:t xml:space="preserve">Reuters-syndicated estimate of plant capacity</w:t>
            </w:r>
          </w:p>
        </w:tc>
      </w:tr>
    </w:tbl>
    <w:bookmarkEnd w:id="29"/>
    <w:bookmarkStart w:id="30" w:name="strategic-value"/>
    <w:p>
      <w:pPr>
        <w:pStyle w:val="Heading2"/>
      </w:pPr>
      <w:r>
        <w:t xml:space="preserve">Strategic value</w:t>
      </w:r>
    </w:p>
    <w:p>
      <w:pPr>
        <w:pStyle w:val="FirstParagraph"/>
      </w:pPr>
      <w:r>
        <w:t xml:space="preserve">The Sumter facility is consistently framed as strategically significant for the United States because it increases domestic rare-earth permanent magnet production and reduces reliance on foreign (particularly Chinese) supply chains, a theme repeated in local reporting and federal policy discussions. VAC and partners also explicitly link U.S.-produced rare-earth magnets to defense platforms and systems, including the F-35 and UAVs, and DoD communications list a wider set of magnet-dependent platforms including submarines, missiles, radar systems, UAVs, and precision-guided munitions.</w:t>
      </w:r>
    </w:p>
    <w:p>
      <w:pPr>
        <w:pStyle w:val="BodyText"/>
      </w:pPr>
      <w:r>
        <w:t xml:space="preserve">From a defense procurement standpoint, the facility’s strategic value is also tied to the January 1, 2027 DFARS sourcing restrictions and the need for non-covered-country production pathways for both NdFeB and SmCo magnets in defense end-items.</w:t>
      </w:r>
    </w:p>
    <w:bookmarkEnd w:id="30"/>
    <w:bookmarkStart w:id="31" w:name="integration"/>
    <w:p>
      <w:pPr>
        <w:pStyle w:val="Heading2"/>
      </w:pPr>
      <w:r>
        <w:t xml:space="preserve">Integration</w:t>
      </w:r>
    </w:p>
    <w:p>
      <w:pPr>
        <w:pStyle w:val="FirstParagraph"/>
      </w:pPr>
      <w:r>
        <w:t xml:space="preserve">Sumter’s key integration premise is that waste streams are expected and contractually managed, with a declared intention to recycle 100% of magnet-production by-products (swarf) through a long-term agreement, and an option to reintegrate recycled mixed rare earth oxides into VAC’s own production processes. Any onsite capture or treatment system (including a wastewater-oriented system) would therefore need to map cleanly onto the existing swarf collection and recycling logistics, rather than creating a parallel, conflicting waste disposition pathway.</w:t>
      </w:r>
    </w:p>
    <w:p>
      <w:pPr>
        <w:pStyle w:val="BodyText"/>
      </w:pPr>
      <w:r>
        <w:t xml:space="preserve">To translate this into an execution plan without over-claiming beyond public sources, the immediate next step is a due-diligence package of questions that align with the published facility design and compliance goals:</w:t>
      </w:r>
    </w:p>
    <w:p>
      <w:pPr>
        <w:pStyle w:val="Compact"/>
        <w:numPr>
          <w:ilvl w:val="0"/>
          <w:numId w:val="1001"/>
        </w:numPr>
      </w:pPr>
      <w:r>
        <w:t xml:space="preserve">What are the physical forms of “swarf” generated at the plant (grinding sludge, EDM fines, saw kerf, coating overspray), and what proportion is currently routed to the contracted recycler under the “100%” agreement language?</w:t>
      </w:r>
    </w:p>
    <w:p>
      <w:pPr>
        <w:pStyle w:val="Compact"/>
        <w:numPr>
          <w:ilvl w:val="0"/>
          <w:numId w:val="1001"/>
        </w:numPr>
      </w:pPr>
      <w:r>
        <w:t xml:space="preserve">Which stages of the NdFeB supply chain are executed on the Sumter campus at start-up vs. after the planned early-2027 alloy/metal facility comes online (rare-earth metals and strip-cast alloy production), and how does that change the waste stream composition and security requirements?</w:t>
      </w:r>
    </w:p>
    <w:p>
      <w:pPr>
        <w:pStyle w:val="Compact"/>
        <w:numPr>
          <w:ilvl w:val="0"/>
          <w:numId w:val="1001"/>
        </w:numPr>
      </w:pPr>
      <w:r>
        <w:t xml:space="preserve">What quality system and audit artifacts are required for Sumter’s defense-market deliveries under AS9100/EN9100-aligned expectations, and how will waste handling be documented to preserve traceability and compliance narratives?</w:t>
      </w:r>
    </w:p>
    <w:p>
      <w:pPr>
        <w:pStyle w:val="FirstParagraph"/>
      </w:pPr>
      <w:r>
        <w:t xml:space="preserve">These questions are directly motivated by the public claims of a China-independent supply chain, DFARS-linked compliance positioning, and contractual commitment to recycle manufacturing by-products, which collectively define the operational constraints for any onsite waste or wastewater intervention at the facility.</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2"/>
        <w:szCs w:val="22"/>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20" w:before="120" w:line="276" w:lineRule="auto"/>
      <w:jc w:val="both"/>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jc w:val="left"/>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36"/>
      <w:szCs w:val="3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36"/>
      <w:szCs w:val="3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sz w:val="32"/>
      <w:szCs w:val="32"/>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sz w:val="28"/>
      <w:szCs w:val="28"/>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sz w:val="32"/>
      <w:szCs w:val="32"/>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sz w:val="28"/>
      <w:szCs w:val="28"/>
    </w:rPr>
  </w:style>
  <w:style w:customStyle="1" w:styleId="Heading3Char" w:type="character">
    <w:name w:val="Heading 3 Char"/>
    <w:basedOn w:val="DefaultParagraphFont"/>
    <w:link w:val="Heading3"/>
    <w:uiPriority w:val="9"/>
    <w:semiHidden/>
    <w:rsid w:val="00A10FD9"/>
    <w:rPr>
      <w:rFonts w:cstheme="majorBidi" w:eastAsiaTheme="majorEastAsia"/>
      <w:sz w:val="24"/>
      <w:szCs w:val="24"/>
    </w:rPr>
  </w:style>
  <w:style w:customStyle="1" w:styleId="Heading4Char" w:type="character">
    <w:name w:val="Heading 4 Char"/>
    <w:basedOn w:val="DefaultParagraphFont"/>
    <w:link w:val="Heading4"/>
    <w:uiPriority w:val="9"/>
    <w:semiHidden/>
    <w:rsid w:val="00A10FD9"/>
    <w:rPr>
      <w:rFonts w:cstheme="majorBidi" w:eastAsiaTheme="majorEastAsia"/>
      <w:i/>
      <w:iCs/>
    </w:rPr>
  </w:style>
  <w:style w:customStyle="1" w:styleId="Heading5Char" w:type="character">
    <w:name w:val="Heading 5 Char"/>
    <w:basedOn w:val="DefaultParagraphFont"/>
    <w:link w:val="Heading5"/>
    <w:uiPriority w:val="9"/>
    <w:semiHidden/>
    <w:rsid w:val="00A10FD9"/>
    <w:rPr>
      <w:rFonts w:cstheme="majorBidi" w:eastAsiaTheme="majorEastAsia"/>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qFormat/>
    <w:tblPr>
      <w:tblInd w:type="dxa" w:w="0"/>
      <w:tblBorders>
        <w:top w:color="404040" w:space="0" w:sz="4" w:val="single"/>
        <w:left w:color="404040" w:space="0" w:sz="4" w:val="single"/>
        <w:bottom w:color="404040" w:space="0" w:sz="4" w:val="single"/>
        <w:right w:color="404040" w:space="0" w:sz="4" w:val="single"/>
        <w:insideH w:color="404040" w:space="0" w:sz="4" w:val="single"/>
        <w:insideV w:color="404040" w:space="0" w:sz="4" w:val="single"/>
      </w:tblBorders>
      <w:tblCellMar>
        <w:top w:type="dxa" w:w="55"/>
        <w:left w:type="dxa" w:w="108"/>
        <w:bottom w:type="dxa" w:w="55"/>
        <w:right w:type="dxa" w:w="108"/>
      </w:tblCellMar>
    </w:tblPr>
    <w:trPr>
      <w:cantSplit/>
    </w:trPr>
    <w:tcPr>
      <w:tcBorders>
        <w:top w:color="404040" w:space="0" w:sz="4" w:val="single"/>
        <w:left w:color="404040" w:space="0" w:sz="4" w:val="single"/>
        <w:bottom w:color="404040" w:space="0" w:sz="4" w:val="single"/>
        <w:right w:color="404040" w:space="0" w:sz="4" w:val="single"/>
      </w:tcBorders>
    </w:tcPr>
    <w:tblStylePr w:type="firstRow">
      <w:rPr>
        <w:b/>
        <w:bCs/>
      </w:rPr>
      <w:tblPr>
        <w:jc w:val="left"/>
        <w:tblInd w:type="dxa" w:w="0"/>
      </w:tblPr>
      <w:trPr>
        <w:jc w:val="left"/>
        <w:tblHeader/>
      </w:trPr>
      <w:tcPr>
        <w:tcBorders>
          <w:top w:color="404040" w:space="0" w:sz="6" w:val="single"/>
          <w:left w:color="404040" w:space="0" w:sz="4" w:val="single"/>
          <w:bottom w:color="404040" w:space="0" w:sz="6" w:val="single"/>
          <w:right w:color="404040" w:space="0" w:sz="4" w:val="single"/>
        </w:tcBorders>
        <w:shd w:color="auto" w:fill="F0F0F0"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panose="020F05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Georgia"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2026-02-12T17:54:32Z</dcterms:created>
  <dcterms:modified xsi:type="dcterms:W3CDTF">2026-02-12T17:54:32Z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sl">
    <vt:lpwstr>/code/chef/pandoc/chicago-short-notes-and-bib.csl</vt:lpwstr>
  </property>
</Properties>
</file>