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X4bc618b4cc54aaaa6d2152a53630d685375b3b2"/>
    <w:p>
      <w:pPr>
        <w:pStyle w:val="Heading1"/>
      </w:pPr>
      <w:r>
        <w:t xml:space="preserve">Algamol Pitch Deck Framework: Rare Earth Recovery from Defense Magnet Machining Wastewater</w:t>
      </w:r>
    </w:p>
    <w:bookmarkStart w:id="20" w:name="deck-overview"/>
    <w:p>
      <w:pPr>
        <w:pStyle w:val="Heading2"/>
      </w:pPr>
      <w:r>
        <w:t xml:space="preserve">Deck overview</w:t>
      </w:r>
    </w:p>
    <w:p>
      <w:pPr>
        <w:pStyle w:val="FirstParagraph"/>
      </w:pPr>
      <w:r>
        <w:t xml:space="preserve">This framework is designed as a slide-by-slide structure for a 16-slide investor and customer deck, plus appendix slides, focused on (1) defense-driven demand for high-performance rare-earth magnets, (2) value leakage from machining waste and coolant slurries, and (3) Algamol’s positioning as a wastewater treatment and metals-recovery enabler in a tightening provenance/compliance environment.</w:t>
      </w:r>
    </w:p>
    <w:bookmarkEnd w:id="20"/>
    <w:bookmarkStart w:id="21" w:name="slide-1"/>
    <w:p>
      <w:pPr>
        <w:pStyle w:val="Heading2"/>
      </w:pPr>
      <w:r>
        <w:t xml:space="preserve">Slide 1</w:t>
      </w:r>
    </w:p>
    <w:p>
      <w:pPr>
        <w:pStyle w:val="FirstParagraph"/>
      </w:pPr>
      <w:r>
        <w:rPr>
          <w:b/>
          <w:bCs/>
        </w:rPr>
        <w:t xml:space="preserve">Slide title:</w:t>
      </w:r>
      <w:r>
        <w:t xml:space="preserve"> </w:t>
      </w:r>
      <w:r>
        <w:t xml:space="preserve">Algamol</w:t>
      </w:r>
    </w:p>
    <w:p>
      <w:pPr>
        <w:pStyle w:val="BodyText"/>
      </w:pPr>
      <w:r>
        <w:rPr>
          <w:b/>
          <w:bCs/>
        </w:rPr>
        <w:t xml:space="preserve">Key message (1 sentence):</w:t>
      </w:r>
      <w:r>
        <w:t xml:space="preserve"> </w:t>
      </w:r>
      <w:r>
        <w:t xml:space="preserve">Algamol enables recovery of rare earth metals from wastewater, turning a defense-critical waste stream into a domestic supply and compliance advantage.</w:t>
      </w:r>
    </w:p>
    <w:p>
      <w:pPr>
        <w:pStyle w:val="BodyText"/>
      </w:pPr>
      <w:r>
        <w:rPr>
          <w:b/>
          <w:bCs/>
        </w:rPr>
        <w:t xml:space="preserve">Supporting data points to include:</w:t>
      </w:r>
    </w:p>
    <w:p>
      <w:pPr>
        <w:pStyle w:val="Compact"/>
        <w:numPr>
          <w:ilvl w:val="0"/>
          <w:numId w:val="1001"/>
        </w:numPr>
      </w:pPr>
      <w:r>
        <w:t xml:space="preserve">“supports the recovery of rare earth metals from wastewater.”</w:t>
      </w:r>
    </w:p>
    <w:p>
      <w:pPr>
        <w:pStyle w:val="Compact"/>
        <w:numPr>
          <w:ilvl w:val="0"/>
          <w:numId w:val="1001"/>
        </w:numPr>
      </w:pPr>
      <w:r>
        <w:t xml:space="preserve">DoD emphasis on keeping “critical nodes” inside the U.S. for secure magnet supply.</w:t>
      </w:r>
    </w:p>
    <w:p>
      <w:pPr>
        <w:pStyle w:val="Compact"/>
        <w:numPr>
          <w:ilvl w:val="0"/>
          <w:numId w:val="1001"/>
        </w:numPr>
      </w:pPr>
      <w:r>
        <w:t xml:space="preserve">DFARS expanded prohibition effective January 1, 2027 for covered magnets/materials from covered countries.</w:t>
      </w:r>
    </w:p>
    <w:p>
      <w:pPr>
        <w:pStyle w:val="FirstParagraph"/>
      </w:pPr>
      <w:r>
        <w:rPr>
          <w:b/>
          <w:bCs/>
        </w:rPr>
        <w:t xml:space="preserve">Visual suggestion:</w:t>
      </w:r>
      <w:r>
        <w:t xml:space="preserve"> </w:t>
      </w:r>
      <w:r>
        <w:t xml:space="preserve">A simple graphic showing “wastewater → recovered metals concentrate → compliant domestic value chain.”</w:t>
      </w:r>
    </w:p>
    <w:bookmarkEnd w:id="21"/>
    <w:bookmarkStart w:id="22" w:name="slide-2"/>
    <w:p>
      <w:pPr>
        <w:pStyle w:val="Heading2"/>
      </w:pPr>
      <w:r>
        <w:t xml:space="preserve">Slide 2</w:t>
      </w:r>
    </w:p>
    <w:p>
      <w:pPr>
        <w:pStyle w:val="FirstParagraph"/>
      </w:pPr>
      <w:r>
        <w:rPr>
          <w:b/>
          <w:bCs/>
        </w:rPr>
        <w:t xml:space="preserve">Slide title:</w:t>
      </w:r>
      <w:r>
        <w:t xml:space="preserve"> </w:t>
      </w:r>
      <w:r>
        <w:t xml:space="preserve">The problem</w:t>
      </w:r>
    </w:p>
    <w:p>
      <w:pPr>
        <w:pStyle w:val="BodyText"/>
      </w:pPr>
      <w:r>
        <w:rPr>
          <w:b/>
          <w:bCs/>
        </w:rPr>
        <w:t xml:space="preserve">Key message (1 sentence):</w:t>
      </w:r>
      <w:r>
        <w:t xml:space="preserve"> </w:t>
      </w:r>
      <w:r>
        <w:t xml:space="preserve">Defense magnet production loses a material fraction as machining swarf/sludge, and the resulting coolant-contaminated waste is expensive to dispose of and hard to recycle cleanly.</w:t>
      </w:r>
    </w:p>
    <w:p>
      <w:pPr>
        <w:pStyle w:val="BodyText"/>
      </w:pPr>
      <w:r>
        <w:rPr>
          <w:b/>
          <w:bCs/>
        </w:rPr>
        <w:t xml:space="preserve">Supporting data points to include:</w:t>
      </w:r>
    </w:p>
    <w:p>
      <w:pPr>
        <w:pStyle w:val="Compact"/>
        <w:numPr>
          <w:ilvl w:val="0"/>
          <w:numId w:val="1002"/>
        </w:numPr>
      </w:pPr>
      <w:r>
        <w:t xml:space="preserve">“the new solid scrap and cutting sludge ‘swarf’… accounts for 20–30% of the starting alloy.”</w:t>
      </w:r>
    </w:p>
    <w:p>
      <w:pPr>
        <w:pStyle w:val="Compact"/>
        <w:numPr>
          <w:ilvl w:val="0"/>
          <w:numId w:val="1002"/>
        </w:numPr>
      </w:pPr>
      <w:r>
        <w:t xml:space="preserve">“About 20–30 wt.% scrap is generated during the NdFeB magnets cutting and grinding processes.”</w:t>
      </w:r>
    </w:p>
    <w:p>
      <w:pPr>
        <w:pStyle w:val="Compact"/>
        <w:numPr>
          <w:ilvl w:val="0"/>
          <w:numId w:val="1002"/>
        </w:numPr>
      </w:pPr>
      <w:r>
        <w:t xml:space="preserve">“More than 70% of the waste generated in manufacturing consists of sludge, which is heavily oxidized and contaminated with carbon from lubrication.”</w:t>
      </w:r>
    </w:p>
    <w:p>
      <w:pPr>
        <w:pStyle w:val="Compact"/>
        <w:numPr>
          <w:ilvl w:val="0"/>
          <w:numId w:val="1002"/>
        </w:numPr>
      </w:pPr>
      <w:r>
        <w:t xml:space="preserve">Offsite hazardous waste disposal “typically $0.50–$3.00/gallon ($130–$800/m3).”</w:t>
      </w:r>
    </w:p>
    <w:p>
      <w:pPr>
        <w:pStyle w:val="FirstParagraph"/>
      </w:pPr>
      <w:r>
        <w:rPr>
          <w:b/>
          <w:bCs/>
        </w:rPr>
        <w:t xml:space="preserve">Visual suggestion:</w:t>
      </w:r>
      <w:r>
        <w:t xml:space="preserve"> </w:t>
      </w:r>
      <w:r>
        <w:t xml:space="preserve">Photo/illustration of grinding sludge and a callout showing 20–30% loss and $130–$800/m³ disposal range.</w:t>
      </w:r>
    </w:p>
    <w:bookmarkEnd w:id="22"/>
    <w:bookmarkStart w:id="23" w:name="slide-3"/>
    <w:p>
      <w:pPr>
        <w:pStyle w:val="Heading2"/>
      </w:pPr>
      <w:r>
        <w:t xml:space="preserve">Slide 3</w:t>
      </w:r>
    </w:p>
    <w:p>
      <w:pPr>
        <w:pStyle w:val="FirstParagraph"/>
      </w:pPr>
      <w:r>
        <w:rPr>
          <w:b/>
          <w:bCs/>
        </w:rPr>
        <w:t xml:space="preserve">Slide title:</w:t>
      </w:r>
      <w:r>
        <w:t xml:space="preserve"> </w:t>
      </w:r>
      <w:r>
        <w:t xml:space="preserve">The market</w:t>
      </w:r>
    </w:p>
    <w:p>
      <w:pPr>
        <w:pStyle w:val="BodyText"/>
      </w:pPr>
      <w:r>
        <w:rPr>
          <w:b/>
          <w:bCs/>
        </w:rPr>
        <w:t xml:space="preserve">Key message (1 sentence):</w:t>
      </w:r>
      <w:r>
        <w:t xml:space="preserve"> </w:t>
      </w:r>
      <w:r>
        <w:t xml:space="preserve">Rare earth magnets are required across major U.S. defense platforms at large scale, making magnet waste and provenance a strategic issue—not just an operational one.</w:t>
      </w:r>
    </w:p>
    <w:p>
      <w:pPr>
        <w:pStyle w:val="BodyText"/>
      </w:pPr>
      <w:r>
        <w:rPr>
          <w:b/>
          <w:bCs/>
        </w:rPr>
        <w:t xml:space="preserve">Supporting data points to include:</w:t>
      </w:r>
    </w:p>
    <w:p>
      <w:pPr>
        <w:pStyle w:val="Compact"/>
        <w:numPr>
          <w:ilvl w:val="0"/>
          <w:numId w:val="1003"/>
        </w:numPr>
      </w:pPr>
      <w:r>
        <w:t xml:space="preserve">DoD statement that rare earth permanent magnets are essential across defense capabilities (e.g., F-35, submarines, UAVs).</w:t>
      </w:r>
    </w:p>
    <w:p>
      <w:pPr>
        <w:pStyle w:val="Compact"/>
        <w:numPr>
          <w:ilvl w:val="0"/>
          <w:numId w:val="1003"/>
        </w:numPr>
      </w:pPr>
      <w:r>
        <w:t xml:space="preserve">Platform REE requirements: F-35 “more than 900 pounds,” DDG-51 “5,200 pounds,” Virginia-class submarine “9,200 pounds.”</w:t>
      </w:r>
    </w:p>
    <w:p>
      <w:pPr>
        <w:pStyle w:val="FirstParagraph"/>
      </w:pPr>
      <w:r>
        <w:rPr>
          <w:b/>
          <w:bCs/>
        </w:rPr>
        <w:t xml:space="preserve">Visual suggestion:</w:t>
      </w:r>
      <w:r>
        <w:t xml:space="preserve"> </w:t>
      </w:r>
      <w:r>
        <w:t xml:space="preserve">Three platform images (F-35, DDG-51, submarine) with large numeric REE labels.</w:t>
      </w:r>
    </w:p>
    <w:bookmarkEnd w:id="23"/>
    <w:bookmarkStart w:id="24" w:name="slide-4"/>
    <w:p>
      <w:pPr>
        <w:pStyle w:val="Heading2"/>
      </w:pPr>
      <w:r>
        <w:t xml:space="preserve">Slide 4</w:t>
      </w:r>
    </w:p>
    <w:p>
      <w:pPr>
        <w:pStyle w:val="FirstParagraph"/>
      </w:pPr>
      <w:r>
        <w:rPr>
          <w:b/>
          <w:bCs/>
        </w:rPr>
        <w:t xml:space="preserve">Slide title:</w:t>
      </w:r>
      <w:r>
        <w:t xml:space="preserve"> </w:t>
      </w:r>
      <w:r>
        <w:t xml:space="preserve">The regulatory tailwind</w:t>
      </w:r>
    </w:p>
    <w:p>
      <w:pPr>
        <w:pStyle w:val="BodyText"/>
      </w:pPr>
      <w:r>
        <w:rPr>
          <w:b/>
          <w:bCs/>
        </w:rPr>
        <w:t xml:space="preserve">Key message (1 sentence):</w:t>
      </w:r>
      <w:r>
        <w:t xml:space="preserve"> </w:t>
      </w:r>
      <w:r>
        <w:t xml:space="preserve">DFARS expands to upstream “mined/refined/separated/melted/produced” restrictions on January 1, 2027, making traceable domestic recycling pathways a procurement lever for NdFeB in particular.</w:t>
      </w:r>
    </w:p>
    <w:p>
      <w:pPr>
        <w:pStyle w:val="BodyText"/>
      </w:pPr>
      <w:r>
        <w:rPr>
          <w:b/>
          <w:bCs/>
        </w:rPr>
        <w:t xml:space="preserve">Supporting data points to include:</w:t>
      </w:r>
    </w:p>
    <w:p>
      <w:pPr>
        <w:pStyle w:val="Compact"/>
        <w:numPr>
          <w:ilvl w:val="0"/>
          <w:numId w:val="1004"/>
        </w:numPr>
      </w:pPr>
      <w:r>
        <w:t xml:space="preserve">DFARS final rule effective date anchor: “Effective May 30, 2024.”</w:t>
      </w:r>
    </w:p>
    <w:p>
      <w:pPr>
        <w:pStyle w:val="Compact"/>
        <w:numPr>
          <w:ilvl w:val="0"/>
          <w:numId w:val="1004"/>
        </w:numPr>
      </w:pPr>
      <w:r>
        <w:t xml:space="preserve">The 2027 prohibition: “Effective January 1, 2027, do not acquire any covered material mined, refined, separated, melted, or produced in any covered country…”</w:t>
      </w:r>
    </w:p>
    <w:p>
      <w:pPr>
        <w:pStyle w:val="Compact"/>
        <w:numPr>
          <w:ilvl w:val="0"/>
          <w:numId w:val="1004"/>
        </w:numPr>
      </w:pPr>
      <w:r>
        <w:t xml:space="preserve">Covered magnets include “(1) Samarium-cobalt magnets; (2) Neodymium-iron-boron magnets.”</w:t>
      </w:r>
    </w:p>
    <w:p>
      <w:pPr>
        <w:pStyle w:val="Compact"/>
        <w:numPr>
          <w:ilvl w:val="0"/>
          <w:numId w:val="1004"/>
        </w:numPr>
      </w:pPr>
      <w:r>
        <w:t xml:space="preserve">Recycled NdFeB exception: “manufactured from recycled material if the milling… and sintering… takes place in the United States.”</w:t>
      </w:r>
    </w:p>
    <w:p>
      <w:pPr>
        <w:pStyle w:val="FirstParagraph"/>
      </w:pPr>
      <w:r>
        <w:rPr>
          <w:b/>
          <w:bCs/>
        </w:rPr>
        <w:t xml:space="preserve">Visual suggestion:</w:t>
      </w:r>
      <w:r>
        <w:t xml:space="preserve"> </w:t>
      </w:r>
      <w:r>
        <w:t xml:space="preserve">A timeline from 2024 → 2027 showing the “scope expansion cliff,” plus a branch highlighting “Recycled NdFeB (US milled + sintered) exception.”</w:t>
      </w:r>
    </w:p>
    <w:bookmarkEnd w:id="24"/>
    <w:bookmarkStart w:id="25" w:name="slide-5"/>
    <w:p>
      <w:pPr>
        <w:pStyle w:val="Heading2"/>
      </w:pPr>
      <w:r>
        <w:t xml:space="preserve">Slide 5</w:t>
      </w:r>
    </w:p>
    <w:p>
      <w:pPr>
        <w:pStyle w:val="FirstParagraph"/>
      </w:pPr>
      <w:r>
        <w:rPr>
          <w:b/>
          <w:bCs/>
        </w:rPr>
        <w:t xml:space="preserve">Slide title:</w:t>
      </w:r>
      <w:r>
        <w:t xml:space="preserve"> </w:t>
      </w:r>
      <w:r>
        <w:t xml:space="preserve">The solution</w:t>
      </w:r>
    </w:p>
    <w:p>
      <w:pPr>
        <w:pStyle w:val="BodyText"/>
      </w:pPr>
      <w:r>
        <w:rPr>
          <w:b/>
          <w:bCs/>
        </w:rPr>
        <w:t xml:space="preserve">Key message (1 sentence):</w:t>
      </w:r>
      <w:r>
        <w:t xml:space="preserve"> </w:t>
      </w:r>
      <w:r>
        <w:t xml:space="preserve">Algamol’s modular on-site treatment concept pairs pre-treatment for oily machining coolants with an algae-based capture step positioned to support rare earth recovery from wastewater.</w:t>
      </w:r>
    </w:p>
    <w:p>
      <w:pPr>
        <w:pStyle w:val="BodyText"/>
      </w:pPr>
      <w:r>
        <w:rPr>
          <w:b/>
          <w:bCs/>
        </w:rPr>
        <w:t xml:space="preserve">Supporting data points to include:</w:t>
      </w:r>
    </w:p>
    <w:p>
      <w:pPr>
        <w:pStyle w:val="Compact"/>
        <w:numPr>
          <w:ilvl w:val="0"/>
          <w:numId w:val="1005"/>
        </w:numPr>
      </w:pPr>
      <w:r>
        <w:t xml:space="preserve">Membrane/adsorption recovery from coolants typically needs pretreatment to remove oils/organics.</w:t>
      </w:r>
    </w:p>
    <w:p>
      <w:pPr>
        <w:pStyle w:val="Compact"/>
        <w:numPr>
          <w:ilvl w:val="0"/>
          <w:numId w:val="1005"/>
        </w:numPr>
      </w:pPr>
      <w:r>
        <w:t xml:space="preserve">Water-mix cutting fluids form oil-in-water emulsions (2–10% oil by volume).</w:t>
      </w:r>
    </w:p>
    <w:p>
      <w:pPr>
        <w:pStyle w:val="Compact"/>
        <w:numPr>
          <w:ilvl w:val="0"/>
          <w:numId w:val="1005"/>
        </w:numPr>
      </w:pPr>
      <w:r>
        <w:t xml:space="preserve">Algamol positioning: “supports the recovery of rare earth metals from wastewater.”</w:t>
      </w:r>
    </w:p>
    <w:p>
      <w:pPr>
        <w:pStyle w:val="FirstParagraph"/>
      </w:pPr>
      <w:r>
        <w:rPr>
          <w:b/>
          <w:bCs/>
        </w:rPr>
        <w:t xml:space="preserve">Visual suggestion:</w:t>
      </w:r>
      <w:r>
        <w:t xml:space="preserve"> </w:t>
      </w:r>
      <w:r>
        <w:t xml:space="preserve">Process block diagram: (1) equalization + oil/solids removal → (2) algae-based capture → (3) polishing and concentrate/sludge handling.</w:t>
      </w:r>
    </w:p>
    <w:bookmarkEnd w:id="25"/>
    <w:bookmarkStart w:id="26" w:name="slide-6"/>
    <w:p>
      <w:pPr>
        <w:pStyle w:val="Heading2"/>
      </w:pPr>
      <w:r>
        <w:t xml:space="preserve">Slide 6</w:t>
      </w:r>
    </w:p>
    <w:p>
      <w:pPr>
        <w:pStyle w:val="FirstParagraph"/>
      </w:pPr>
      <w:r>
        <w:rPr>
          <w:b/>
          <w:bCs/>
        </w:rPr>
        <w:t xml:space="preserve">Slide title:</w:t>
      </w:r>
      <w:r>
        <w:t xml:space="preserve"> </w:t>
      </w:r>
      <w:r>
        <w:t xml:space="preserve">How it works</w:t>
      </w:r>
    </w:p>
    <w:p>
      <w:pPr>
        <w:pStyle w:val="BodyText"/>
      </w:pPr>
      <w:r>
        <w:rPr>
          <w:b/>
          <w:bCs/>
        </w:rPr>
        <w:t xml:space="preserve">Key message (1 sentence):</w:t>
      </w:r>
      <w:r>
        <w:t xml:space="preserve"> </w:t>
      </w:r>
      <w:r>
        <w:t xml:space="preserve">A staged treatment train can manage oily metalworking fluids and selectively separate iron vs rare earths using known pH windows, while concentrating REE-bearing residues for downstream recovery.</w:t>
      </w:r>
    </w:p>
    <w:p>
      <w:pPr>
        <w:pStyle w:val="BodyText"/>
      </w:pPr>
      <w:r>
        <w:rPr>
          <w:b/>
          <w:bCs/>
        </w:rPr>
        <w:t xml:space="preserve">Supporting data points to include:</w:t>
      </w:r>
    </w:p>
    <w:p>
      <w:pPr>
        <w:pStyle w:val="Compact"/>
        <w:numPr>
          <w:ilvl w:val="0"/>
          <w:numId w:val="1006"/>
        </w:numPr>
      </w:pPr>
      <w:r>
        <w:t xml:space="preserve">Operational selectivity: Fe can be precipitated first at ~pH 3–4, then REE precipitation occurs at higher pH to avoid co-precipitation.</w:t>
      </w:r>
    </w:p>
    <w:p>
      <w:pPr>
        <w:pStyle w:val="Compact"/>
        <w:numPr>
          <w:ilvl w:val="0"/>
          <w:numId w:val="1006"/>
        </w:numPr>
      </w:pPr>
      <w:r>
        <w:t xml:space="preserve">REE hydroxide precipitation range: commonly achieved by increasing pH to ~8.6 and typically occurs ~8.6–10.</w:t>
      </w:r>
    </w:p>
    <w:p>
      <w:pPr>
        <w:pStyle w:val="Compact"/>
        <w:numPr>
          <w:ilvl w:val="0"/>
          <w:numId w:val="1006"/>
        </w:numPr>
      </w:pPr>
      <w:r>
        <w:t xml:space="preserve">Membrane-based pre-concentration is promising, but oil/organic fouling complicates direct use and implies pretreatment requirements.</w:t>
      </w:r>
    </w:p>
    <w:p>
      <w:pPr>
        <w:pStyle w:val="FirstParagraph"/>
      </w:pPr>
      <w:r>
        <w:rPr>
          <w:b/>
          <w:bCs/>
        </w:rPr>
        <w:t xml:space="preserve">Visual suggestion:</w:t>
      </w:r>
      <w:r>
        <w:t xml:space="preserve"> </w:t>
      </w:r>
      <w:r>
        <w:t xml:space="preserve">A “pH cascade” diagram with three bands: Fe removal (~3–4), biosorption window (mildly acidic), REE precipitation (~8.6–10).</w:t>
      </w:r>
    </w:p>
    <w:bookmarkEnd w:id="26"/>
    <w:bookmarkStart w:id="27" w:name="slide-7"/>
    <w:p>
      <w:pPr>
        <w:pStyle w:val="Heading2"/>
      </w:pPr>
      <w:r>
        <w:t xml:space="preserve">Slide 7</w:t>
      </w:r>
    </w:p>
    <w:p>
      <w:pPr>
        <w:pStyle w:val="FirstParagraph"/>
      </w:pPr>
      <w:r>
        <w:rPr>
          <w:b/>
          <w:bCs/>
        </w:rPr>
        <w:t xml:space="preserve">Slide title:</w:t>
      </w:r>
      <w:r>
        <w:t xml:space="preserve"> </w:t>
      </w:r>
      <w:r>
        <w:t xml:space="preserve">Competitive advantage</w:t>
      </w:r>
    </w:p>
    <w:p>
      <w:pPr>
        <w:pStyle w:val="BodyText"/>
      </w:pPr>
      <w:r>
        <w:rPr>
          <w:b/>
          <w:bCs/>
        </w:rPr>
        <w:t xml:space="preserve">Key message (1 sentence):</w:t>
      </w:r>
      <w:r>
        <w:t xml:space="preserve"> </w:t>
      </w:r>
      <w:r>
        <w:t xml:space="preserve">Algamol is positioned as a “treatment + recovery” module that can complement standard precipitation and protect downstream membrane/recovery steps in oily coolant matrices where fouling is a known constraint.</w:t>
      </w:r>
    </w:p>
    <w:p>
      <w:pPr>
        <w:pStyle w:val="BodyText"/>
      </w:pPr>
      <w:r>
        <w:rPr>
          <w:b/>
          <w:bCs/>
        </w:rPr>
        <w:t xml:space="preserve">Supporting data points to include:</w:t>
      </w:r>
    </w:p>
    <w:p>
      <w:pPr>
        <w:pStyle w:val="Compact"/>
        <w:numPr>
          <w:ilvl w:val="0"/>
          <w:numId w:val="1007"/>
        </w:numPr>
      </w:pPr>
      <w:r>
        <w:t xml:space="preserve">Chemical precipitation via pH adjustment is widely used for metal-ion removal.</w:t>
      </w:r>
    </w:p>
    <w:p>
      <w:pPr>
        <w:pStyle w:val="Compact"/>
        <w:numPr>
          <w:ilvl w:val="0"/>
          <w:numId w:val="1007"/>
        </w:numPr>
      </w:pPr>
      <w:r>
        <w:t xml:space="preserve">Membrane recovery is promising but fouling from oils/organics complicates direct membrane use; pretreatment is usually required.</w:t>
      </w:r>
    </w:p>
    <w:p>
      <w:pPr>
        <w:pStyle w:val="Compact"/>
        <w:numPr>
          <w:ilvl w:val="0"/>
          <w:numId w:val="1007"/>
        </w:numPr>
      </w:pPr>
      <w:r>
        <w:t xml:space="preserve">The algae/biomass pathway is still emerging for real wastes (risk and differentiation must be communicated honestly).</w:t>
      </w:r>
    </w:p>
    <w:p>
      <w:pPr>
        <w:pStyle w:val="FirstParagraph"/>
      </w:pPr>
      <w:r>
        <w:rPr>
          <w:b/>
          <w:bCs/>
        </w:rPr>
        <w:t xml:space="preserve">Visual suggestion:</w:t>
      </w:r>
      <w:r>
        <w:t xml:space="preserve"> </w:t>
      </w:r>
      <w:r>
        <w:t xml:space="preserve">A 2×2 comparison matrix (CAPEX vs selectivity; or TRL vs waste compatibility) comparing precipitation, membranes, ion exchange (placeholder), and Algamol biosorption.</w:t>
      </w:r>
    </w:p>
    <w:bookmarkEnd w:id="27"/>
    <w:bookmarkStart w:id="28" w:name="slide-8"/>
    <w:p>
      <w:pPr>
        <w:pStyle w:val="Heading2"/>
      </w:pPr>
      <w:r>
        <w:t xml:space="preserve">Slide 8</w:t>
      </w:r>
    </w:p>
    <w:p>
      <w:pPr>
        <w:pStyle w:val="FirstParagraph"/>
      </w:pPr>
      <w:r>
        <w:rPr>
          <w:b/>
          <w:bCs/>
        </w:rPr>
        <w:t xml:space="preserve">Slide title:</w:t>
      </w:r>
      <w:r>
        <w:t xml:space="preserve"> </w:t>
      </w:r>
      <w:r>
        <w:t xml:space="preserve">Unit economics</w:t>
      </w:r>
    </w:p>
    <w:p>
      <w:pPr>
        <w:pStyle w:val="BodyText"/>
      </w:pPr>
      <w:r>
        <w:rPr>
          <w:b/>
          <w:bCs/>
        </w:rPr>
        <w:t xml:space="preserve">Key message (1 sentence):</w:t>
      </w:r>
      <w:r>
        <w:t xml:space="preserve"> </w:t>
      </w:r>
      <w:r>
        <w:t xml:space="preserve">Even before recovered-metal upside, avoiding hazardous hauling at $130–$800/m³ can support rapid payback against a $110k–$310k modular system with ~$28k–$73k/year OPEX drivers.</w:t>
      </w:r>
    </w:p>
    <w:p>
      <w:pPr>
        <w:pStyle w:val="BodyText"/>
      </w:pPr>
      <w:r>
        <w:rPr>
          <w:b/>
          <w:bCs/>
        </w:rPr>
        <w:t xml:space="preserve">Supporting data points to include:</w:t>
      </w:r>
    </w:p>
    <w:p>
      <w:pPr>
        <w:pStyle w:val="Compact"/>
        <w:numPr>
          <w:ilvl w:val="0"/>
          <w:numId w:val="1008"/>
        </w:numPr>
      </w:pPr>
      <w:r>
        <w:t xml:space="preserve">Disposal benchmark: $0.50–$3.00/gal ($130–$800/m³).</w:t>
      </w:r>
    </w:p>
    <w:p>
      <w:pPr>
        <w:pStyle w:val="Compact"/>
        <w:numPr>
          <w:ilvl w:val="0"/>
          <w:numId w:val="1008"/>
        </w:numPr>
      </w:pPr>
      <w:r>
        <w:t xml:space="preserve">CAPEX estimate: $110k–$310k.</w:t>
      </w:r>
    </w:p>
    <w:p>
      <w:pPr>
        <w:pStyle w:val="Compact"/>
        <w:numPr>
          <w:ilvl w:val="0"/>
          <w:numId w:val="1008"/>
        </w:numPr>
      </w:pPr>
      <w:r>
        <w:t xml:space="preserve">OPEX components: chemicals $5k–$15k/yr; membrane replacement $5k–$10k/yr; energy $3k–$8k/yr; labor $10k–$25k/yr; sludge disposal/processing $5k–$15k/yr.</w:t>
      </w:r>
    </w:p>
    <w:p>
      <w:pPr>
        <w:pStyle w:val="FirstParagraph"/>
      </w:pPr>
      <w:r>
        <w:rPr>
          <w:b/>
          <w:bCs/>
        </w:rPr>
        <w:t xml:space="preserve">Visual suggestion:</w:t>
      </w:r>
      <w:r>
        <w:t xml:space="preserve"> </w:t>
      </w:r>
      <w:r>
        <w:t xml:space="preserve">Waterfall chart showing “baseline hauling spend → on-site treatment OPEX → net savings,” with CAPEX shown as an upfront bar.</w:t>
      </w:r>
    </w:p>
    <w:bookmarkEnd w:id="28"/>
    <w:bookmarkStart w:id="29" w:name="slide-9"/>
    <w:p>
      <w:pPr>
        <w:pStyle w:val="Heading2"/>
      </w:pPr>
      <w:r>
        <w:t xml:space="preserve">Slide 9</w:t>
      </w:r>
    </w:p>
    <w:p>
      <w:pPr>
        <w:pStyle w:val="FirstParagraph"/>
      </w:pPr>
      <w:r>
        <w:rPr>
          <w:b/>
          <w:bCs/>
        </w:rPr>
        <w:t xml:space="preserve">Slide title:</w:t>
      </w:r>
      <w:r>
        <w:t xml:space="preserve"> </w:t>
      </w:r>
      <w:r>
        <w:t xml:space="preserve">SmCo opportunity</w:t>
      </w:r>
    </w:p>
    <w:p>
      <w:pPr>
        <w:pStyle w:val="BodyText"/>
      </w:pPr>
      <w:r>
        <w:rPr>
          <w:b/>
          <w:bCs/>
        </w:rPr>
        <w:t xml:space="preserve">Key message (1 sentence):</w:t>
      </w:r>
      <w:r>
        <w:t xml:space="preserve"> </w:t>
      </w:r>
      <w:r>
        <w:t xml:space="preserve">High-temperature defense magnets often use SmCo, which is preferred for 200–550°C applications, and its finishing waste is amplified by brittleness-driven loss and fracture risk.</w:t>
      </w:r>
    </w:p>
    <w:p>
      <w:pPr>
        <w:pStyle w:val="BodyText"/>
      </w:pPr>
      <w:r>
        <w:rPr>
          <w:b/>
          <w:bCs/>
        </w:rPr>
        <w:t xml:space="preserve">Supporting data points to include:</w:t>
      </w:r>
    </w:p>
    <w:p>
      <w:pPr>
        <w:pStyle w:val="Compact"/>
        <w:numPr>
          <w:ilvl w:val="0"/>
          <w:numId w:val="1009"/>
        </w:numPr>
      </w:pPr>
      <w:r>
        <w:t xml:space="preserve">SmCo is described as preferred/ultimate for high-temperature applications “200–550°C.”</w:t>
      </w:r>
    </w:p>
    <w:p>
      <w:pPr>
        <w:pStyle w:val="Compact"/>
        <w:numPr>
          <w:ilvl w:val="0"/>
          <w:numId w:val="1009"/>
        </w:numPr>
      </w:pPr>
      <w:r>
        <w:t xml:space="preserve">Brittle magnet loss “up to 20–30% in volume.”</w:t>
      </w:r>
    </w:p>
    <w:p>
      <w:pPr>
        <w:pStyle w:val="Compact"/>
        <w:numPr>
          <w:ilvl w:val="0"/>
          <w:numId w:val="1009"/>
        </w:numPr>
      </w:pPr>
      <w:r>
        <w:t xml:space="preserve">Sm-Co machining failure rate “up to 20%.”</w:t>
      </w:r>
    </w:p>
    <w:p>
      <w:pPr>
        <w:pStyle w:val="FirstParagraph"/>
      </w:pPr>
      <w:r>
        <w:rPr>
          <w:b/>
          <w:bCs/>
        </w:rPr>
        <w:t xml:space="preserve">Visual suggestion:</w:t>
      </w:r>
      <w:r>
        <w:t xml:space="preserve"> </w:t>
      </w:r>
      <w:r>
        <w:t xml:space="preserve">Side-by-side graphic: “SmCo at high temperature” (200–550°C) vs “brittleness waste,” with a callout to brittleness-driven loss range.</w:t>
      </w:r>
    </w:p>
    <w:bookmarkEnd w:id="29"/>
    <w:bookmarkStart w:id="30" w:name="slide-10"/>
    <w:p>
      <w:pPr>
        <w:pStyle w:val="Heading2"/>
      </w:pPr>
      <w:r>
        <w:t xml:space="preserve">Slide 10</w:t>
      </w:r>
    </w:p>
    <w:p>
      <w:pPr>
        <w:pStyle w:val="FirstParagraph"/>
      </w:pPr>
      <w:r>
        <w:rPr>
          <w:b/>
          <w:bCs/>
        </w:rPr>
        <w:t xml:space="preserve">Slide title:</w:t>
      </w:r>
      <w:r>
        <w:t xml:space="preserve"> </w:t>
      </w:r>
      <w:r>
        <w:t xml:space="preserve">Beachhead customer</w:t>
      </w:r>
    </w:p>
    <w:p>
      <w:pPr>
        <w:pStyle w:val="BodyText"/>
      </w:pPr>
      <w:r>
        <w:rPr>
          <w:b/>
          <w:bCs/>
        </w:rPr>
        <w:t xml:space="preserve">Key message (1 sentence):</w:t>
      </w:r>
      <w:r>
        <w:t xml:space="preserve"> </w:t>
      </w:r>
      <w:r>
        <w:t xml:space="preserve">EEC in Landisville, PA is a defense-relevant SmCo producer with a documented in-house process chain (melting → ~3 µm powder → pressing → sinter/solution/aging → grinding/slicing/WEDM) and certifications aligned with defense programs.</w:t>
      </w:r>
    </w:p>
    <w:p>
      <w:pPr>
        <w:pStyle w:val="BodyText"/>
      </w:pPr>
      <w:r>
        <w:rPr>
          <w:b/>
          <w:bCs/>
        </w:rPr>
        <w:t xml:space="preserve">Supporting data points to include:</w:t>
      </w:r>
    </w:p>
    <w:p>
      <w:pPr>
        <w:pStyle w:val="Compact"/>
        <w:numPr>
          <w:ilvl w:val="0"/>
          <w:numId w:val="1010"/>
        </w:numPr>
      </w:pPr>
      <w:r>
        <w:t xml:space="preserve">Location: “Electron Energy Corporation, 924 Links Avenue, Landisville, PA 17538.”</w:t>
      </w:r>
    </w:p>
    <w:p>
      <w:pPr>
        <w:pStyle w:val="Compact"/>
        <w:numPr>
          <w:ilvl w:val="0"/>
          <w:numId w:val="1010"/>
        </w:numPr>
      </w:pPr>
      <w:r>
        <w:t xml:space="preserve">Alloy inputs: purchases pure raw materials (Sm, Co, Fe, Cu, Zr) for in-house SmCo 1:5 and 2:17 alloys.</w:t>
      </w:r>
    </w:p>
    <w:p>
      <w:pPr>
        <w:pStyle w:val="Compact"/>
        <w:numPr>
          <w:ilvl w:val="0"/>
          <w:numId w:val="1010"/>
        </w:numPr>
      </w:pPr>
      <w:r>
        <w:t xml:space="preserve">Powder size: average particle size reduced to “≈ 3 microns.”</w:t>
      </w:r>
    </w:p>
    <w:p>
      <w:pPr>
        <w:pStyle w:val="Compact"/>
        <w:numPr>
          <w:ilvl w:val="0"/>
          <w:numId w:val="1010"/>
        </w:numPr>
      </w:pPr>
      <w:r>
        <w:t xml:space="preserve">Pressing: axial, transverse, or isostatic presses.</w:t>
      </w:r>
    </w:p>
    <w:p>
      <w:pPr>
        <w:pStyle w:val="Compact"/>
        <w:numPr>
          <w:ilvl w:val="0"/>
          <w:numId w:val="1010"/>
        </w:numPr>
      </w:pPr>
      <w:r>
        <w:t xml:space="preserve">Heat treatment: sinter, solution, and aging under vacuum or inert gas.</w:t>
      </w:r>
    </w:p>
    <w:p>
      <w:pPr>
        <w:pStyle w:val="Compact"/>
        <w:numPr>
          <w:ilvl w:val="0"/>
          <w:numId w:val="1010"/>
        </w:numPr>
      </w:pPr>
      <w:r>
        <w:t xml:space="preserve">Machining: grinding, slicing, wire EDM for brittle sintered magnets.</w:t>
      </w:r>
    </w:p>
    <w:p>
      <w:pPr>
        <w:pStyle w:val="Compact"/>
        <w:numPr>
          <w:ilvl w:val="0"/>
          <w:numId w:val="1010"/>
        </w:numPr>
      </w:pPr>
      <w:r>
        <w:t xml:space="preserve">Compliance: “ITAR COMPLIANT AND DDTC REGISTERED” and “certified to AS9100D and ISO 9001:2015.”</w:t>
      </w:r>
    </w:p>
    <w:p>
      <w:pPr>
        <w:pStyle w:val="FirstParagraph"/>
      </w:pPr>
      <w:r>
        <w:rPr>
          <w:b/>
          <w:bCs/>
        </w:rPr>
        <w:t xml:space="preserve">Visual suggestion:</w:t>
      </w:r>
      <w:r>
        <w:t xml:space="preserve"> </w:t>
      </w:r>
      <w:r>
        <w:t xml:space="preserve">Map of Landisville/Lancaster County with an “EEC” pin, plus a vertical process-flow graphic ending in machining and shipping.</w:t>
      </w:r>
    </w:p>
    <w:bookmarkEnd w:id="30"/>
    <w:bookmarkStart w:id="31" w:name="slide-11"/>
    <w:p>
      <w:pPr>
        <w:pStyle w:val="Heading2"/>
      </w:pPr>
      <w:r>
        <w:t xml:space="preserve">Slide 11</w:t>
      </w:r>
    </w:p>
    <w:p>
      <w:pPr>
        <w:pStyle w:val="FirstParagraph"/>
      </w:pPr>
      <w:r>
        <w:rPr>
          <w:b/>
          <w:bCs/>
        </w:rPr>
        <w:t xml:space="preserve">Slide title:</w:t>
      </w:r>
      <w:r>
        <w:t xml:space="preserve"> </w:t>
      </w:r>
      <w:r>
        <w:t xml:space="preserve">Go to market</w:t>
      </w:r>
    </w:p>
    <w:p>
      <w:pPr>
        <w:pStyle w:val="BodyText"/>
      </w:pPr>
      <w:r>
        <w:rPr>
          <w:b/>
          <w:bCs/>
        </w:rPr>
        <w:t xml:space="preserve">Key message (1 sentence):</w:t>
      </w:r>
      <w:r>
        <w:t xml:space="preserve"> </w:t>
      </w:r>
      <w:r>
        <w:t xml:space="preserve">A pilot-first approach is supported by wastewater best practices and biosorption literature calling for validation with actual industrial samples, with priority pilots aimed at defense-relevant magnet suppliers and machinists.</w:t>
      </w:r>
    </w:p>
    <w:p>
      <w:pPr>
        <w:pStyle w:val="BodyText"/>
      </w:pPr>
      <w:r>
        <w:rPr>
          <w:b/>
          <w:bCs/>
        </w:rPr>
        <w:t xml:space="preserve">Supporting data points to include:</w:t>
      </w:r>
    </w:p>
    <w:p>
      <w:pPr>
        <w:pStyle w:val="Compact"/>
        <w:numPr>
          <w:ilvl w:val="0"/>
          <w:numId w:val="1011"/>
        </w:numPr>
      </w:pPr>
      <w:r>
        <w:t xml:space="preserve">Priority targets named in compiled inputs: “EEC/Permag (Landisville PA), Arnold (multiple sites), VAC (Sumter SC).”</w:t>
      </w:r>
    </w:p>
    <w:p>
      <w:pPr>
        <w:pStyle w:val="Compact"/>
        <w:numPr>
          <w:ilvl w:val="0"/>
          <w:numId w:val="1011"/>
        </w:numPr>
      </w:pPr>
      <w:r>
        <w:t xml:space="preserve">Pilot importance: “Field tests and sometimes pilot tests are also important items…”</w:t>
      </w:r>
    </w:p>
    <w:p>
      <w:pPr>
        <w:pStyle w:val="Compact"/>
        <w:numPr>
          <w:ilvl w:val="0"/>
          <w:numId w:val="1011"/>
        </w:numPr>
      </w:pPr>
      <w:r>
        <w:t xml:space="preserve">Scale-up requirement: lab experiments “need to be advanced to industrial levels and tested with actual wastewater samples from manufacturing sources.”</w:t>
      </w:r>
    </w:p>
    <w:p>
      <w:pPr>
        <w:pStyle w:val="FirstParagraph"/>
      </w:pPr>
      <w:r>
        <w:rPr>
          <w:b/>
          <w:bCs/>
        </w:rPr>
        <w:t xml:space="preserve">Visual suggestion:</w:t>
      </w:r>
      <w:r>
        <w:t xml:space="preserve"> </w:t>
      </w:r>
      <w:r>
        <w:t xml:space="preserve">Three-phase roadmap: pilot at EEC → multi-site deployments → scale with DFARS timing.</w:t>
      </w:r>
    </w:p>
    <w:bookmarkEnd w:id="31"/>
    <w:bookmarkStart w:id="32" w:name="slide-12"/>
    <w:p>
      <w:pPr>
        <w:pStyle w:val="Heading2"/>
      </w:pPr>
      <w:r>
        <w:t xml:space="preserve">Slide 12</w:t>
      </w:r>
    </w:p>
    <w:p>
      <w:pPr>
        <w:pStyle w:val="FirstParagraph"/>
      </w:pPr>
      <w:r>
        <w:rPr>
          <w:b/>
          <w:bCs/>
        </w:rPr>
        <w:t xml:space="preserve">Slide title:</w:t>
      </w:r>
      <w:r>
        <w:t xml:space="preserve"> </w:t>
      </w:r>
      <w:r>
        <w:t xml:space="preserve">Business model</w:t>
      </w:r>
    </w:p>
    <w:p>
      <w:pPr>
        <w:pStyle w:val="BodyText"/>
      </w:pPr>
      <w:r>
        <w:rPr>
          <w:b/>
          <w:bCs/>
        </w:rPr>
        <w:t xml:space="preserve">Key message (1 sentence):</w:t>
      </w:r>
      <w:r>
        <w:t xml:space="preserve"> </w:t>
      </w:r>
      <w:r>
        <w:t xml:space="preserve">Because hauling/disposal costs can dominate, a service or lease model tied to verified disposal reduction can be underwritten even while metals-recovery performance is validated on real waste matrices.</w:t>
      </w:r>
    </w:p>
    <w:p>
      <w:pPr>
        <w:pStyle w:val="BodyText"/>
      </w:pPr>
      <w:r>
        <w:rPr>
          <w:b/>
          <w:bCs/>
        </w:rPr>
        <w:t xml:space="preserve">Supporting data points to include:</w:t>
      </w:r>
    </w:p>
    <w:p>
      <w:pPr>
        <w:pStyle w:val="Compact"/>
        <w:numPr>
          <w:ilvl w:val="0"/>
          <w:numId w:val="1012"/>
        </w:numPr>
      </w:pPr>
      <w:r>
        <w:t xml:space="preserve">Disposal cost anchor for savings-based contracting: $0.50–$3.00/gal ($130–$800/m³).</w:t>
      </w:r>
    </w:p>
    <w:p>
      <w:pPr>
        <w:pStyle w:val="Compact"/>
        <w:numPr>
          <w:ilvl w:val="0"/>
          <w:numId w:val="1012"/>
        </w:numPr>
      </w:pPr>
      <w:r>
        <w:t xml:space="preserve">Technology maturity caveat: research into algal sorbents for REE recovery from real wastes is “still in its infancy.”</w:t>
      </w:r>
    </w:p>
    <w:p>
      <w:pPr>
        <w:pStyle w:val="Compact"/>
        <w:numPr>
          <w:ilvl w:val="0"/>
          <w:numId w:val="1012"/>
        </w:numPr>
      </w:pPr>
      <w:r>
        <w:t xml:space="preserve">Pilot testing is a recognized pathway to derisk performance in industrial water treatment.</w:t>
      </w:r>
    </w:p>
    <w:p>
      <w:pPr>
        <w:pStyle w:val="FirstParagraph"/>
      </w:pPr>
      <w:r>
        <w:rPr>
          <w:b/>
          <w:bCs/>
        </w:rPr>
        <w:t xml:space="preserve">Visual suggestion:</w:t>
      </w:r>
      <w:r>
        <w:t xml:space="preserve"> </w:t>
      </w:r>
      <w:r>
        <w:t xml:space="preserve">Pricing schematic with three options: (1) lease + monthly fee, (2) performance-based (share of hauling savings), (3) sale + support; include “pilot validation gate.”</w:t>
      </w:r>
    </w:p>
    <w:bookmarkEnd w:id="32"/>
    <w:bookmarkStart w:id="33" w:name="slide-13"/>
    <w:p>
      <w:pPr>
        <w:pStyle w:val="Heading2"/>
      </w:pPr>
      <w:r>
        <w:t xml:space="preserve">Slide 13</w:t>
      </w:r>
    </w:p>
    <w:p>
      <w:pPr>
        <w:pStyle w:val="FirstParagraph"/>
      </w:pPr>
      <w:r>
        <w:rPr>
          <w:b/>
          <w:bCs/>
        </w:rPr>
        <w:t xml:space="preserve">Slide title:</w:t>
      </w:r>
      <w:r>
        <w:t xml:space="preserve"> </w:t>
      </w:r>
      <w:r>
        <w:t xml:space="preserve">Strategic value</w:t>
      </w:r>
    </w:p>
    <w:p>
      <w:pPr>
        <w:pStyle w:val="BodyText"/>
      </w:pPr>
      <w:r>
        <w:rPr>
          <w:b/>
          <w:bCs/>
        </w:rPr>
        <w:t xml:space="preserve">Key message (1 sentence):</w:t>
      </w:r>
      <w:r>
        <w:t xml:space="preserve"> </w:t>
      </w:r>
      <w:r>
        <w:t xml:space="preserve">Waste capture and recovery supports defense supply security goals, improves provenance readiness as disclosure requirements phase in, and can align with domestic “mine-to-magnet” investments underway since 2020.</w:t>
      </w:r>
    </w:p>
    <w:p>
      <w:pPr>
        <w:pStyle w:val="BodyText"/>
      </w:pPr>
      <w:r>
        <w:rPr>
          <w:b/>
          <w:bCs/>
        </w:rPr>
        <w:t xml:space="preserve">Supporting data points to include:</w:t>
      </w:r>
    </w:p>
    <w:p>
      <w:pPr>
        <w:pStyle w:val="Compact"/>
        <w:numPr>
          <w:ilvl w:val="0"/>
          <w:numId w:val="1013"/>
        </w:numPr>
      </w:pPr>
      <w:r>
        <w:t xml:space="preserve">Supply-security rationale: “It’s important that all those critical nodes happen inside the U.S.”</w:t>
      </w:r>
    </w:p>
    <w:p>
      <w:pPr>
        <w:pStyle w:val="Compact"/>
        <w:numPr>
          <w:ilvl w:val="0"/>
          <w:numId w:val="1013"/>
        </w:numPr>
      </w:pPr>
      <w:r>
        <w:t xml:space="preserve">Provenance disclosure direction: DoD “will have to require that contractors disclose the source of certain rare earth permanent magnets…”</w:t>
      </w:r>
    </w:p>
    <w:p>
      <w:pPr>
        <w:pStyle w:val="Compact"/>
        <w:numPr>
          <w:ilvl w:val="0"/>
          <w:numId w:val="1013"/>
        </w:numPr>
      </w:pPr>
      <w:r>
        <w:t xml:space="preserve">DoD funding scale: “Since 2020, DOD has awarded approximately $439 million…” to reestablish domestic rare earth supply chains.</w:t>
      </w:r>
    </w:p>
    <w:p>
      <w:pPr>
        <w:pStyle w:val="FirstParagraph"/>
      </w:pPr>
      <w:r>
        <w:rPr>
          <w:b/>
          <w:bCs/>
        </w:rPr>
        <w:t xml:space="preserve">Visual suggestion:</w:t>
      </w:r>
      <w:r>
        <w:t xml:space="preserve"> </w:t>
      </w:r>
      <w:r>
        <w:t xml:space="preserve">Four-pillar slide (Security, Compliance, Cost, Circularity) with each pillar anchored to one cited statement/data point.</w:t>
      </w:r>
    </w:p>
    <w:bookmarkEnd w:id="33"/>
    <w:bookmarkStart w:id="34" w:name="slide-14"/>
    <w:p>
      <w:pPr>
        <w:pStyle w:val="Heading2"/>
      </w:pPr>
      <w:r>
        <w:t xml:space="preserve">Slide 14</w:t>
      </w:r>
    </w:p>
    <w:p>
      <w:pPr>
        <w:pStyle w:val="FirstParagraph"/>
      </w:pPr>
      <w:r>
        <w:rPr>
          <w:b/>
          <w:bCs/>
        </w:rPr>
        <w:t xml:space="preserve">Slide title:</w:t>
      </w:r>
      <w:r>
        <w:t xml:space="preserve"> </w:t>
      </w:r>
      <w:r>
        <w:t xml:space="preserve">Market sizing</w:t>
      </w:r>
    </w:p>
    <w:p>
      <w:pPr>
        <w:pStyle w:val="BodyText"/>
      </w:pPr>
      <w:r>
        <w:rPr>
          <w:b/>
          <w:bCs/>
        </w:rPr>
        <w:t xml:space="preserve">Key message (1 sentence):</w:t>
      </w:r>
      <w:r>
        <w:t xml:space="preserve"> </w:t>
      </w:r>
      <w:r>
        <w:t xml:space="preserve">Magnet swarf and sludge is already a sizable stream relative to global production, and machining scrap fractions in the 20–30% range imply meaningful capture volumes where high-value magnets are finished to tight tolerances.</w:t>
      </w:r>
    </w:p>
    <w:p>
      <w:pPr>
        <w:pStyle w:val="BodyText"/>
      </w:pPr>
      <w:r>
        <w:rPr>
          <w:b/>
          <w:bCs/>
        </w:rPr>
        <w:t xml:space="preserve">Supporting data points to include:</w:t>
      </w:r>
    </w:p>
    <w:p>
      <w:pPr>
        <w:pStyle w:val="Compact"/>
        <w:numPr>
          <w:ilvl w:val="0"/>
          <w:numId w:val="1014"/>
        </w:numPr>
      </w:pPr>
      <w:r>
        <w:t xml:space="preserve">Swarf stream estimate: “The volume of the swarf recycling stream in 2020 is estimated as 9% of the NdFeB magnets produced globally.”</w:t>
      </w:r>
    </w:p>
    <w:p>
      <w:pPr>
        <w:pStyle w:val="Compact"/>
        <w:numPr>
          <w:ilvl w:val="0"/>
          <w:numId w:val="1014"/>
        </w:numPr>
      </w:pPr>
      <w:r>
        <w:t xml:space="preserve">Typical machining scrap: 20–30% of starting alloy as swarf in manufacturing and 20–30 wt% scrap during NdFeB cutting/grinding.</w:t>
      </w:r>
    </w:p>
    <w:p>
      <w:pPr>
        <w:pStyle w:val="Compact"/>
        <w:numPr>
          <w:ilvl w:val="0"/>
          <w:numId w:val="1014"/>
        </w:numPr>
      </w:pPr>
      <w:r>
        <w:t xml:space="preserve">Machining is called out as the step with the greatest material loss; machining recovery rate 60–90% depending on complexity (implying 10–40% loss).</w:t>
      </w:r>
    </w:p>
    <w:p>
      <w:pPr>
        <w:pStyle w:val="FirstParagraph"/>
      </w:pPr>
      <w:r>
        <w:rPr>
          <w:b/>
          <w:bCs/>
        </w:rPr>
        <w:t xml:space="preserve">Visual suggestion:</w:t>
      </w:r>
      <w:r>
        <w:t xml:space="preserve"> </w:t>
      </w:r>
      <w:r>
        <w:t xml:space="preserve">TAM/SAM/SOM concentric circles with (a) global NdFeB production baseline, (b) swarf stream fraction (~9%), and (c) defense-relevant subset (placeholder).</w:t>
      </w:r>
    </w:p>
    <w:bookmarkEnd w:id="34"/>
    <w:bookmarkStart w:id="35" w:name="slide-15"/>
    <w:p>
      <w:pPr>
        <w:pStyle w:val="Heading2"/>
      </w:pPr>
      <w:r>
        <w:t xml:space="preserve">Slide 15</w:t>
      </w:r>
    </w:p>
    <w:p>
      <w:pPr>
        <w:pStyle w:val="FirstParagraph"/>
      </w:pPr>
      <w:r>
        <w:rPr>
          <w:b/>
          <w:bCs/>
        </w:rPr>
        <w:t xml:space="preserve">Slide title:</w:t>
      </w:r>
      <w:r>
        <w:t xml:space="preserve"> </w:t>
      </w:r>
      <w:r>
        <w:t xml:space="preserve">Risks</w:t>
      </w:r>
    </w:p>
    <w:p>
      <w:pPr>
        <w:pStyle w:val="BodyText"/>
      </w:pPr>
      <w:r>
        <w:rPr>
          <w:b/>
          <w:bCs/>
        </w:rPr>
        <w:t xml:space="preserve">Key message (1 sentence):</w:t>
      </w:r>
      <w:r>
        <w:t xml:space="preserve"> </w:t>
      </w:r>
      <w:r>
        <w:t xml:space="preserve">The core technical risk is variability and contamination in real machining slurries and coolants, and the core commercialization risk is proving performance on real streams early enough to match DFARS timing pressure.</w:t>
      </w:r>
    </w:p>
    <w:p>
      <w:pPr>
        <w:pStyle w:val="BodyText"/>
      </w:pPr>
      <w:r>
        <w:rPr>
          <w:b/>
          <w:bCs/>
        </w:rPr>
        <w:t xml:space="preserve">Supporting data points to include:</w:t>
      </w:r>
    </w:p>
    <w:p>
      <w:pPr>
        <w:pStyle w:val="Compact"/>
        <w:numPr>
          <w:ilvl w:val="0"/>
          <w:numId w:val="1015"/>
        </w:numPr>
      </w:pPr>
      <w:r>
        <w:t xml:space="preserve">Real waste streams complicate recovery due to cutting fluids/organics; pretreatment is often required.</w:t>
      </w:r>
    </w:p>
    <w:p>
      <w:pPr>
        <w:pStyle w:val="Compact"/>
        <w:numPr>
          <w:ilvl w:val="0"/>
          <w:numId w:val="1015"/>
        </w:numPr>
      </w:pPr>
      <w:r>
        <w:t xml:space="preserve">Membrane-based REE recovery from coolants is complicated by fouling from oils/organics and typically needs pretreatment.</w:t>
      </w:r>
    </w:p>
    <w:p>
      <w:pPr>
        <w:pStyle w:val="Compact"/>
        <w:numPr>
          <w:ilvl w:val="0"/>
          <w:numId w:val="1015"/>
        </w:numPr>
      </w:pPr>
      <w:r>
        <w:t xml:space="preserve">DFARS 2027 expansion date is a fixed milestone that drives procurement urgency.</w:t>
      </w:r>
    </w:p>
    <w:p>
      <w:pPr>
        <w:pStyle w:val="FirstParagraph"/>
      </w:pPr>
      <w:r>
        <w:rPr>
          <w:b/>
          <w:bCs/>
        </w:rPr>
        <w:t xml:space="preserve">Visual suggestion:</w:t>
      </w:r>
      <w:r>
        <w:t xml:space="preserve"> </w:t>
      </w:r>
      <w:r>
        <w:t xml:space="preserve">Risk matrix with “technical” (matrix effects, fouling, pH control) and “schedule” (2027 deadline) axes, plus a mitigation column tied to pilot testing.</w:t>
      </w:r>
    </w:p>
    <w:bookmarkEnd w:id="35"/>
    <w:bookmarkStart w:id="36" w:name="slide-16"/>
    <w:p>
      <w:pPr>
        <w:pStyle w:val="Heading2"/>
      </w:pPr>
      <w:r>
        <w:t xml:space="preserve">Slide 16</w:t>
      </w:r>
    </w:p>
    <w:p>
      <w:pPr>
        <w:pStyle w:val="FirstParagraph"/>
      </w:pPr>
      <w:r>
        <w:rPr>
          <w:b/>
          <w:bCs/>
        </w:rPr>
        <w:t xml:space="preserve">Slide title:</w:t>
      </w:r>
      <w:r>
        <w:t xml:space="preserve"> </w:t>
      </w:r>
      <w:r>
        <w:t xml:space="preserve">Team and ask</w:t>
      </w:r>
    </w:p>
    <w:p>
      <w:pPr>
        <w:pStyle w:val="BodyText"/>
      </w:pPr>
      <w:r>
        <w:rPr>
          <w:b/>
          <w:bCs/>
        </w:rPr>
        <w:t xml:space="preserve">Key message (1 sentence):</w:t>
      </w:r>
      <w:r>
        <w:t xml:space="preserve"> </w:t>
      </w:r>
      <w:r>
        <w:t xml:space="preserve">Raise $[X]M to run a pilot at a defense-relevant SmCo producer and mature the process to industrial validation using real wastewater samples, consistent with published scale-up needs for biosorption approaches.</w:t>
      </w:r>
    </w:p>
    <w:p>
      <w:pPr>
        <w:pStyle w:val="BodyText"/>
      </w:pPr>
      <w:r>
        <w:rPr>
          <w:b/>
          <w:bCs/>
        </w:rPr>
        <w:t xml:space="preserve">Supporting data points to include:</w:t>
      </w:r>
    </w:p>
    <w:p>
      <w:pPr>
        <w:pStyle w:val="Compact"/>
        <w:numPr>
          <w:ilvl w:val="0"/>
          <w:numId w:val="1016"/>
        </w:numPr>
      </w:pPr>
      <w:r>
        <w:t xml:space="preserve">Validation requirement: lab-scale experiments must be tested with actual wastewater samples from manufacturing sources.</w:t>
      </w:r>
    </w:p>
    <w:p>
      <w:pPr>
        <w:pStyle w:val="Compact"/>
        <w:numPr>
          <w:ilvl w:val="0"/>
          <w:numId w:val="1016"/>
        </w:numPr>
      </w:pPr>
      <w:r>
        <w:t xml:space="preserve">Maturity caveat and why funding is needed: algal sorbents for real wastes are still “in its infancy.”</w:t>
      </w:r>
    </w:p>
    <w:p>
      <w:pPr>
        <w:pStyle w:val="Compact"/>
        <w:numPr>
          <w:ilvl w:val="0"/>
          <w:numId w:val="1016"/>
        </w:numPr>
      </w:pPr>
      <w:r>
        <w:t xml:space="preserve">Named pilot targets include EEC/Permag, Arnold, VAC Sumter (beachhead list).</w:t>
      </w:r>
    </w:p>
    <w:p>
      <w:pPr>
        <w:pStyle w:val="FirstParagraph"/>
      </w:pPr>
      <w:r>
        <w:rPr>
          <w:b/>
          <w:bCs/>
        </w:rPr>
        <w:t xml:space="preserve">Visual suggestion:</w:t>
      </w:r>
      <w:r>
        <w:t xml:space="preserve"> </w:t>
      </w:r>
      <w:r>
        <w:t xml:space="preserve">“Use of funds” pie chart (pilot build, sampling/analytics, field ops, BD), plus a 6–12 month pilot timeline ending with a validated performance report.</w:t>
      </w:r>
    </w:p>
    <w:bookmarkEnd w:id="36"/>
    <w:bookmarkStart w:id="37" w:name="appendix-a1"/>
    <w:p>
      <w:pPr>
        <w:pStyle w:val="Heading2"/>
      </w:pPr>
      <w:r>
        <w:t xml:space="preserve">Appendix A1</w:t>
      </w:r>
    </w:p>
    <w:p>
      <w:pPr>
        <w:pStyle w:val="FirstParagraph"/>
      </w:pPr>
      <w:r>
        <w:rPr>
          <w:b/>
          <w:bCs/>
        </w:rPr>
        <w:t xml:space="preserve">Slide title:</w:t>
      </w:r>
      <w:r>
        <w:t xml:space="preserve"> </w:t>
      </w:r>
      <w:r>
        <w:t xml:space="preserve">Detailed financial model</w:t>
      </w:r>
    </w:p>
    <w:p>
      <w:pPr>
        <w:pStyle w:val="BodyText"/>
      </w:pPr>
      <w:r>
        <w:rPr>
          <w:b/>
          <w:bCs/>
        </w:rPr>
        <w:t xml:space="preserve">Key message (1 sentence):</w:t>
      </w:r>
      <w:r>
        <w:t xml:space="preserve"> </w:t>
      </w:r>
      <w:r>
        <w:t xml:space="preserve">A transparent model should separate (1) disposal avoidance (bankable) from (2) metals recovery (upside), using cited disposal, CAPEX, and OPEX ranges as the base case.</w:t>
      </w:r>
    </w:p>
    <w:p>
      <w:pPr>
        <w:pStyle w:val="BodyText"/>
      </w:pPr>
      <w:r>
        <w:rPr>
          <w:b/>
          <w:bCs/>
        </w:rPr>
        <w:t xml:space="preserve">Supporting data points to include:</w:t>
      </w:r>
    </w:p>
    <w:p>
      <w:pPr>
        <w:pStyle w:val="Compact"/>
        <w:numPr>
          <w:ilvl w:val="0"/>
          <w:numId w:val="1017"/>
        </w:numPr>
      </w:pPr>
      <w:r>
        <w:t xml:space="preserve">Disposal: $130–$800/m³ benchmark.</w:t>
      </w:r>
    </w:p>
    <w:p>
      <w:pPr>
        <w:pStyle w:val="Compact"/>
        <w:numPr>
          <w:ilvl w:val="0"/>
          <w:numId w:val="1017"/>
        </w:numPr>
      </w:pPr>
      <w:r>
        <w:t xml:space="preserve">CAPEX: $110k–$310k; OPEX line items as cited ranges.</w:t>
      </w:r>
    </w:p>
    <w:p>
      <w:pPr>
        <w:pStyle w:val="Compact"/>
        <w:numPr>
          <w:ilvl w:val="0"/>
          <w:numId w:val="1017"/>
        </w:numPr>
      </w:pPr>
      <w:r>
        <w:t xml:space="preserve">If needed, include third-party ROI benchmarks (e.g., ROIs as fast as 1½ years; typical 3–4 years).</w:t>
      </w:r>
    </w:p>
    <w:p>
      <w:pPr>
        <w:pStyle w:val="FirstParagraph"/>
      </w:pPr>
      <w:r>
        <w:rPr>
          <w:b/>
          <w:bCs/>
        </w:rPr>
        <w:t xml:space="preserve">Visual suggestion:</w:t>
      </w:r>
      <w:r>
        <w:t xml:space="preserve"> </w:t>
      </w:r>
      <w:r>
        <w:t xml:space="preserve">Spreadsheet screenshot mockup with scenario toggles (flow rate, disposal cost, treatment OPEX) and outputs (payback, NPV).</w:t>
      </w:r>
    </w:p>
    <w:bookmarkEnd w:id="37"/>
    <w:bookmarkStart w:id="38" w:name="appendix-a2"/>
    <w:p>
      <w:pPr>
        <w:pStyle w:val="Heading2"/>
      </w:pPr>
      <w:r>
        <w:t xml:space="preserve">Appendix A2</w:t>
      </w:r>
    </w:p>
    <w:p>
      <w:pPr>
        <w:pStyle w:val="FirstParagraph"/>
      </w:pPr>
      <w:r>
        <w:rPr>
          <w:b/>
          <w:bCs/>
        </w:rPr>
        <w:t xml:space="preserve">Slide title:</w:t>
      </w:r>
      <w:r>
        <w:t xml:space="preserve"> </w:t>
      </w:r>
      <w:r>
        <w:t xml:space="preserve">SmCo grade anchor</w:t>
      </w:r>
    </w:p>
    <w:p>
      <w:pPr>
        <w:pStyle w:val="BodyText"/>
      </w:pPr>
      <w:r>
        <w:rPr>
          <w:b/>
          <w:bCs/>
        </w:rPr>
        <w:t xml:space="preserve">Key message (1 sentence):</w:t>
      </w:r>
      <w:r>
        <w:t xml:space="preserve"> </w:t>
      </w:r>
      <w:r>
        <w:t xml:space="preserve">EEC’s 2:17-34 grade provides a defense-relevant numeric anchor for high-energy SmCo magnets and illustrates why finishing operations (and their waste streams) concentrate significant embedded value.</w:t>
      </w:r>
    </w:p>
    <w:p>
      <w:pPr>
        <w:pStyle w:val="BodyText"/>
      </w:pPr>
      <w:r>
        <w:rPr>
          <w:b/>
          <w:bCs/>
        </w:rPr>
        <w:t xml:space="preserve">Supporting data points to include:</w:t>
      </w:r>
    </w:p>
    <w:p>
      <w:pPr>
        <w:pStyle w:val="Compact"/>
        <w:numPr>
          <w:ilvl w:val="0"/>
          <w:numId w:val="1018"/>
        </w:numPr>
      </w:pPr>
      <w:r>
        <w:t xml:space="preserve">EEC 2:17-34: (BH)max 34 MGOe; Br 11.9 kG; iHc min 18 kOe; max operating temp 300°C; “DFARS compliant.”</w:t>
      </w:r>
    </w:p>
    <w:p>
      <w:pPr>
        <w:pStyle w:val="Compact"/>
        <w:numPr>
          <w:ilvl w:val="0"/>
          <w:numId w:val="1018"/>
        </w:numPr>
      </w:pPr>
      <w:r>
        <w:t xml:space="preserve">Machining to final dimensions via grinding/slicing/WEDM for brittle sintered magnets (connects performance to finishing waste).</w:t>
      </w:r>
    </w:p>
    <w:p>
      <w:pPr>
        <w:pStyle w:val="FirstParagraph"/>
      </w:pPr>
      <w:r>
        <w:rPr>
          <w:b/>
          <w:bCs/>
        </w:rPr>
        <w:t xml:space="preserve">Visual suggestion:</w:t>
      </w:r>
      <w:r>
        <w:t xml:space="preserve"> </w:t>
      </w:r>
      <w:r>
        <w:t xml:space="preserve">Property radar chart (BHmax/Br/Hc/iHc/Tmax) plus a process note “sintered → machined to print.”</w:t>
      </w:r>
    </w:p>
    <w:bookmarkEnd w:id="38"/>
    <w:bookmarkStart w:id="39" w:name="appendix-a3"/>
    <w:p>
      <w:pPr>
        <w:pStyle w:val="Heading2"/>
      </w:pPr>
      <w:r>
        <w:t xml:space="preserve">Appendix A3</w:t>
      </w:r>
    </w:p>
    <w:p>
      <w:pPr>
        <w:pStyle w:val="FirstParagraph"/>
      </w:pPr>
      <w:r>
        <w:rPr>
          <w:b/>
          <w:bCs/>
        </w:rPr>
        <w:t xml:space="preserve">Slide title:</w:t>
      </w:r>
      <w:r>
        <w:t xml:space="preserve"> </w:t>
      </w:r>
      <w:r>
        <w:t xml:space="preserve">DFARS details</w:t>
      </w:r>
    </w:p>
    <w:p>
      <w:pPr>
        <w:pStyle w:val="BodyText"/>
      </w:pPr>
      <w:r>
        <w:rPr>
          <w:b/>
          <w:bCs/>
        </w:rPr>
        <w:t xml:space="preserve">Key message (1 sentence):</w:t>
      </w:r>
      <w:r>
        <w:t xml:space="preserve"> </w:t>
      </w:r>
      <w:r>
        <w:t xml:space="preserve">DFARS covers both SmCo and NdFeB magnets as “covered materials,” and the January 1, 2027 expansion reaches upstream mining/refining/separation, with a specific recycled-material exception only for NdFeB if U.S. milled and sintered.</w:t>
      </w:r>
    </w:p>
    <w:p>
      <w:pPr>
        <w:pStyle w:val="BodyText"/>
      </w:pPr>
      <w:r>
        <w:rPr>
          <w:b/>
          <w:bCs/>
        </w:rPr>
        <w:t xml:space="preserve">Supporting data points to include:</w:t>
      </w:r>
    </w:p>
    <w:p>
      <w:pPr>
        <w:pStyle w:val="Compact"/>
        <w:numPr>
          <w:ilvl w:val="0"/>
          <w:numId w:val="1019"/>
        </w:numPr>
      </w:pPr>
      <w:r>
        <w:t xml:space="preserve">Covered material includes SmCo and NdFeB magnets.</w:t>
      </w:r>
    </w:p>
    <w:p>
      <w:pPr>
        <w:pStyle w:val="Compact"/>
        <w:numPr>
          <w:ilvl w:val="0"/>
          <w:numId w:val="1019"/>
        </w:numPr>
      </w:pPr>
      <w:r>
        <w:t xml:space="preserve">2027 expansion language (“mined, refined, separated, melted, or produced”).</w:t>
      </w:r>
    </w:p>
    <w:p>
      <w:pPr>
        <w:pStyle w:val="Compact"/>
        <w:numPr>
          <w:ilvl w:val="0"/>
          <w:numId w:val="1019"/>
        </w:numPr>
      </w:pPr>
      <w:r>
        <w:t xml:space="preserve">NdFeB recycled exception language (U.S. milling + sintering).</w:t>
      </w:r>
    </w:p>
    <w:p>
      <w:pPr>
        <w:pStyle w:val="Compact"/>
        <w:numPr>
          <w:ilvl w:val="0"/>
          <w:numId w:val="1019"/>
        </w:numPr>
      </w:pPr>
      <w:r>
        <w:t xml:space="preserve">SmCo rule scope includes “including recycled material… through production of finished magnets” (useful to frame SmCo compliance complexity).</w:t>
      </w:r>
    </w:p>
    <w:p>
      <w:pPr>
        <w:pStyle w:val="FirstParagraph"/>
      </w:pPr>
      <w:r>
        <w:rPr>
          <w:b/>
          <w:bCs/>
        </w:rPr>
        <w:t xml:space="preserve">Visual suggestion:</w:t>
      </w:r>
      <w:r>
        <w:t xml:space="preserve"> </w:t>
      </w:r>
      <w:r>
        <w:t xml:space="preserve">One-page “what changes in 2027” schematic with two branches (NdFeB with recycling exception vs SmCo without such an exception in the cited text).</w:t>
      </w:r>
    </w:p>
    <w:bookmarkEnd w:id="39"/>
    <w:bookmarkStart w:id="40" w:name="appendix-a4"/>
    <w:p>
      <w:pPr>
        <w:pStyle w:val="Heading2"/>
      </w:pPr>
      <w:r>
        <w:t xml:space="preserve">Appendix A4</w:t>
      </w:r>
    </w:p>
    <w:p>
      <w:pPr>
        <w:pStyle w:val="FirstParagraph"/>
      </w:pPr>
      <w:r>
        <w:rPr>
          <w:b/>
          <w:bCs/>
        </w:rPr>
        <w:t xml:space="preserve">Slide title:</w:t>
      </w:r>
      <w:r>
        <w:t xml:space="preserve"> </w:t>
      </w:r>
      <w:r>
        <w:t xml:space="preserve">Treatment chemistry</w:t>
      </w:r>
    </w:p>
    <w:p>
      <w:pPr>
        <w:pStyle w:val="BodyText"/>
      </w:pPr>
      <w:r>
        <w:rPr>
          <w:b/>
          <w:bCs/>
        </w:rPr>
        <w:t xml:space="preserve">Key message (1 sentence):</w:t>
      </w:r>
      <w:r>
        <w:t xml:space="preserve"> </w:t>
      </w:r>
      <w:r>
        <w:t xml:space="preserve">The most defensible near-term architecture combines pretreatment for oily coolants with staged pH control for selective metals removal, consistent with documented precipitation and coolant-fouling constraints.</w:t>
      </w:r>
    </w:p>
    <w:p>
      <w:pPr>
        <w:pStyle w:val="BodyText"/>
      </w:pPr>
      <w:r>
        <w:rPr>
          <w:b/>
          <w:bCs/>
        </w:rPr>
        <w:t xml:space="preserve">Supporting data points to include:</w:t>
      </w:r>
    </w:p>
    <w:p>
      <w:pPr>
        <w:pStyle w:val="Compact"/>
        <w:numPr>
          <w:ilvl w:val="0"/>
          <w:numId w:val="1020"/>
        </w:numPr>
      </w:pPr>
      <w:r>
        <w:t xml:space="preserve">Coolant emulsions: 2–10% oil-in-water (water-mix cutting fluids).</w:t>
      </w:r>
    </w:p>
    <w:p>
      <w:pPr>
        <w:pStyle w:val="Compact"/>
        <w:numPr>
          <w:ilvl w:val="0"/>
          <w:numId w:val="1020"/>
        </w:numPr>
      </w:pPr>
      <w:r>
        <w:t xml:space="preserve">Staged pH: Fe removal first (~3–4), then REE hydroxide precipitation at ~8.6–10.</w:t>
      </w:r>
    </w:p>
    <w:p>
      <w:pPr>
        <w:pStyle w:val="Compact"/>
        <w:numPr>
          <w:ilvl w:val="0"/>
          <w:numId w:val="1020"/>
        </w:numPr>
      </w:pPr>
      <w:r>
        <w:t xml:space="preserve">Membrane-based pre-concentration is promising but fouling from oils/organics complicates direct use; pretreatment is usually required.</w:t>
      </w:r>
    </w:p>
    <w:p>
      <w:pPr>
        <w:pStyle w:val="FirstParagraph"/>
      </w:pPr>
      <w:r>
        <w:rPr>
          <w:b/>
          <w:bCs/>
        </w:rPr>
        <w:t xml:space="preserve">Visual suggestion:</w:t>
      </w:r>
      <w:r>
        <w:t xml:space="preserve"> </w:t>
      </w:r>
      <w:r>
        <w:t xml:space="preserve">A “treatment train” slide with unit operations and pH setpoints labeled, plus an “organics pretreatment” callout.</w:t>
      </w:r>
    </w:p>
    <w:bookmarkEnd w:id="40"/>
    <w:bookmarkStart w:id="41" w:name="appendix-a5"/>
    <w:p>
      <w:pPr>
        <w:pStyle w:val="Heading2"/>
      </w:pPr>
      <w:r>
        <w:t xml:space="preserve">Appendix A5</w:t>
      </w:r>
    </w:p>
    <w:p>
      <w:pPr>
        <w:pStyle w:val="FirstParagraph"/>
      </w:pPr>
      <w:r>
        <w:rPr>
          <w:b/>
          <w:bCs/>
        </w:rPr>
        <w:t xml:space="preserve">Slide title:</w:t>
      </w:r>
      <w:r>
        <w:t xml:space="preserve"> </w:t>
      </w:r>
      <w:r>
        <w:t xml:space="preserve">Waste form reality</w:t>
      </w:r>
    </w:p>
    <w:p>
      <w:pPr>
        <w:pStyle w:val="BodyText"/>
      </w:pPr>
      <w:r>
        <w:rPr>
          <w:b/>
          <w:bCs/>
        </w:rPr>
        <w:t xml:space="preserve">Key message (1 sentence):</w:t>
      </w:r>
      <w:r>
        <w:t xml:space="preserve"> </w:t>
      </w:r>
      <w:r>
        <w:t xml:space="preserve">Magnet-manufacturing waste is frequently sludge-like and coolant-contaminated rather than clean scrap, which affects both downstream recovery and wastewater treatment design constraints.</w:t>
      </w:r>
    </w:p>
    <w:p>
      <w:pPr>
        <w:pStyle w:val="BodyText"/>
      </w:pPr>
      <w:r>
        <w:rPr>
          <w:b/>
          <w:bCs/>
        </w:rPr>
        <w:t xml:space="preserve">Supporting data points to include:</w:t>
      </w:r>
    </w:p>
    <w:p>
      <w:pPr>
        <w:pStyle w:val="Compact"/>
        <w:numPr>
          <w:ilvl w:val="0"/>
          <w:numId w:val="1021"/>
        </w:numPr>
      </w:pPr>
      <w:r>
        <w:t xml:space="preserve">“More than 70% of the waste… consists of sludge” that is oxidized and lubrication-contaminated.</w:t>
      </w:r>
    </w:p>
    <w:p>
      <w:pPr>
        <w:pStyle w:val="Compact"/>
        <w:numPr>
          <w:ilvl w:val="0"/>
          <w:numId w:val="1021"/>
        </w:numPr>
      </w:pPr>
      <w:r>
        <w:t xml:space="preserve">Grinding slurry description: mixture of metallic swarf, grinding-media abrasion, and cooling agent, with remaining coolant varying from &lt;1% to &gt;20%.</w:t>
      </w:r>
    </w:p>
    <w:p>
      <w:pPr>
        <w:pStyle w:val="FirstParagraph"/>
      </w:pPr>
      <w:r>
        <w:rPr>
          <w:b/>
          <w:bCs/>
        </w:rPr>
        <w:t xml:space="preserve">Visual suggestion:</w:t>
      </w:r>
      <w:r>
        <w:t xml:space="preserve"> </w:t>
      </w:r>
      <w:r>
        <w:t xml:space="preserve">Cross-section illustration of slurry (solids + abrasive + coolant) with the &lt;1% to &gt;20% residual coolant band highlighted.</w:t>
      </w:r>
    </w:p>
    <w:bookmarkEnd w:id="41"/>
    <w:bookmarkStart w:id="42" w:name="appendix-a6"/>
    <w:p>
      <w:pPr>
        <w:pStyle w:val="Heading2"/>
      </w:pPr>
      <w:r>
        <w:t xml:space="preserve">Appendix A6</w:t>
      </w:r>
    </w:p>
    <w:p>
      <w:pPr>
        <w:pStyle w:val="FirstParagraph"/>
      </w:pPr>
      <w:r>
        <w:rPr>
          <w:b/>
          <w:bCs/>
        </w:rPr>
        <w:t xml:space="preserve">Slide title:</w:t>
      </w:r>
      <w:r>
        <w:t xml:space="preserve"> </w:t>
      </w:r>
      <w:r>
        <w:t xml:space="preserve">Pilot site interface</w:t>
      </w:r>
    </w:p>
    <w:p>
      <w:pPr>
        <w:pStyle w:val="BodyText"/>
      </w:pPr>
      <w:r>
        <w:rPr>
          <w:b/>
          <w:bCs/>
        </w:rPr>
        <w:t xml:space="preserve">Key message (1 sentence):</w:t>
      </w:r>
      <w:r>
        <w:t xml:space="preserve"> </w:t>
      </w:r>
      <w:r>
        <w:t xml:space="preserve">If the pilot discharges to a local POTW, the relevant interface is a pretreatment program with industrial user permits and local limits designed to prevent pollutant interference and biosolids contamination.</w:t>
      </w:r>
    </w:p>
    <w:p>
      <w:pPr>
        <w:pStyle w:val="BodyText"/>
      </w:pPr>
      <w:r>
        <w:rPr>
          <w:b/>
          <w:bCs/>
        </w:rPr>
        <w:t xml:space="preserve">Supporting data points to include:</w:t>
      </w:r>
    </w:p>
    <w:p>
      <w:pPr>
        <w:pStyle w:val="Compact"/>
        <w:numPr>
          <w:ilvl w:val="0"/>
          <w:numId w:val="1022"/>
        </w:numPr>
      </w:pPr>
      <w:r>
        <w:t xml:space="preserve">LASA: “approved Pretreatment Program” and it “issues Industrial User Permits” for significant industrial users.</w:t>
      </w:r>
    </w:p>
    <w:p>
      <w:pPr>
        <w:pStyle w:val="Compact"/>
        <w:numPr>
          <w:ilvl w:val="0"/>
          <w:numId w:val="1022"/>
        </w:numPr>
      </w:pPr>
      <w:r>
        <w:t xml:space="preserve">Pretreatment goal: prevent pollutants that interfere with the POTW or contaminate biosolids.</w:t>
      </w:r>
    </w:p>
    <w:p>
      <w:pPr>
        <w:pStyle w:val="FirstParagraph"/>
      </w:pPr>
      <w:r>
        <w:rPr>
          <w:b/>
          <w:bCs/>
        </w:rPr>
        <w:t xml:space="preserve">Visual suggestion:</w:t>
      </w:r>
      <w:r>
        <w:t xml:space="preserve"> </w:t>
      </w:r>
      <w:r>
        <w:t xml:space="preserve">A compliance flow diagram: sampling → pretreatment permit → local limits monitoring → discharge approval loop.</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2"/>
        <w:szCs w:val="22"/>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20" w:before="120" w:line="276" w:lineRule="auto"/>
      <w:jc w:val="both"/>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jc w:val="left"/>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36"/>
      <w:szCs w:val="3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36"/>
      <w:szCs w:val="3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sz w:val="32"/>
      <w:szCs w:val="32"/>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sz w:val="28"/>
      <w:szCs w:val="28"/>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sz w:val="32"/>
      <w:szCs w:val="32"/>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sz w:val="28"/>
      <w:szCs w:val="28"/>
    </w:rPr>
  </w:style>
  <w:style w:customStyle="1" w:styleId="Heading3Char" w:type="character">
    <w:name w:val="Heading 3 Char"/>
    <w:basedOn w:val="DefaultParagraphFont"/>
    <w:link w:val="Heading3"/>
    <w:uiPriority w:val="9"/>
    <w:semiHidden/>
    <w:rsid w:val="00A10FD9"/>
    <w:rPr>
      <w:rFonts w:cstheme="majorBidi" w:eastAsiaTheme="majorEastAsia"/>
      <w:sz w:val="24"/>
      <w:szCs w:val="24"/>
    </w:rPr>
  </w:style>
  <w:style w:customStyle="1" w:styleId="Heading4Char" w:type="character">
    <w:name w:val="Heading 4 Char"/>
    <w:basedOn w:val="DefaultParagraphFont"/>
    <w:link w:val="Heading4"/>
    <w:uiPriority w:val="9"/>
    <w:semiHidden/>
    <w:rsid w:val="00A10FD9"/>
    <w:rPr>
      <w:rFonts w:cstheme="majorBidi" w:eastAsiaTheme="majorEastAsia"/>
      <w:i/>
      <w:iCs/>
    </w:rPr>
  </w:style>
  <w:style w:customStyle="1" w:styleId="Heading5Char" w:type="character">
    <w:name w:val="Heading 5 Char"/>
    <w:basedOn w:val="DefaultParagraphFont"/>
    <w:link w:val="Heading5"/>
    <w:uiPriority w:val="9"/>
    <w:semiHidden/>
    <w:rsid w:val="00A10FD9"/>
    <w:rPr>
      <w:rFonts w:cstheme="majorBidi" w:eastAsiaTheme="majorEastAsia"/>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qFormat/>
    <w:tblPr>
      <w:tblInd w:type="dxa" w:w="0"/>
      <w:tblBorders>
        <w:top w:color="404040" w:space="0" w:sz="4" w:val="single"/>
        <w:left w:color="404040" w:space="0" w:sz="4" w:val="single"/>
        <w:bottom w:color="404040" w:space="0" w:sz="4" w:val="single"/>
        <w:right w:color="404040" w:space="0" w:sz="4" w:val="single"/>
        <w:insideH w:color="404040" w:space="0" w:sz="4" w:val="single"/>
        <w:insideV w:color="404040" w:space="0" w:sz="4" w:val="single"/>
      </w:tblBorders>
      <w:tblCellMar>
        <w:top w:type="dxa" w:w="55"/>
        <w:left w:type="dxa" w:w="108"/>
        <w:bottom w:type="dxa" w:w="55"/>
        <w:right w:type="dxa" w:w="108"/>
      </w:tblCellMar>
    </w:tblPr>
    <w:trPr>
      <w:cantSplit/>
    </w:trPr>
    <w:tcPr>
      <w:tcBorders>
        <w:top w:color="404040" w:space="0" w:sz="4" w:val="single"/>
        <w:left w:color="404040" w:space="0" w:sz="4" w:val="single"/>
        <w:bottom w:color="404040" w:space="0" w:sz="4" w:val="single"/>
        <w:right w:color="404040" w:space="0" w:sz="4" w:val="single"/>
      </w:tcBorders>
    </w:tcPr>
    <w:tblStylePr w:type="firstRow">
      <w:rPr>
        <w:b/>
        <w:bCs/>
      </w:rPr>
      <w:tblPr>
        <w:jc w:val="left"/>
        <w:tblInd w:type="dxa" w:w="0"/>
      </w:tblPr>
      <w:trPr>
        <w:jc w:val="left"/>
        <w:tblHeader/>
      </w:trPr>
      <w:tcPr>
        <w:tcBorders>
          <w:top w:color="404040" w:space="0" w:sz="6" w:val="single"/>
          <w:left w:color="404040" w:space="0" w:sz="4" w:val="single"/>
          <w:bottom w:color="404040" w:space="0" w:sz="6" w:val="single"/>
          <w:right w:color="404040" w:space="0" w:sz="4" w:val="single"/>
        </w:tcBorders>
        <w:shd w:color="auto" w:fill="F0F0F0"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panose="020F05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Georgia"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2026-02-12T17:54:32Z</dcterms:created>
  <dcterms:modified xsi:type="dcterms:W3CDTF">2026-02-12T17:54:32Z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sl">
    <vt:lpwstr>/code/chef/pandoc/chicago-short-notes-and-bib.csl</vt:lpwstr>
  </property>
</Properties>
</file>