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f32b7feba63301fdb55812e7b18e95a3482fb94"/>
    <w:p>
      <w:pPr>
        <w:pStyle w:val="Heading1"/>
      </w:pPr>
      <w:r>
        <w:t xml:space="preserve">Algamol Wastewater Treatment Business Case: Defense-Grade Rare Earth Magnet Machining Facility</w:t>
      </w:r>
    </w:p>
    <w:bookmarkStart w:id="20" w:name="summary"/>
    <w:p>
      <w:pPr>
        <w:pStyle w:val="Heading2"/>
      </w:pPr>
      <w:r>
        <w:t xml:space="preserve">Summary</w:t>
      </w:r>
    </w:p>
    <w:p>
      <w:pPr>
        <w:pStyle w:val="FirstParagraph"/>
      </w:pPr>
      <w:r>
        <w:t xml:space="preserve">Defense-grade permanent magnet machining and finishing (e.g., grinding, EDM, slicing) generates coolant and sludge streams that are frequently expensive to manage offsite and are often constrained by hazardous-waste classification and local sewer discharge requirements. Across multiple industry sources, offsite hazardous waste disposal is commonly summarized as $0.50–$3.00/gal (about $130–$800/m³), with additional variability by jurisdiction and waste characteristics. Reported per-gallon disposal pricing can be substantially higher for small-volume drum pickups (e.g., ~$8–$9/gal), reinforcing the cost penalty for small and mid-sized operations without in-house treatment or recycling.</w:t>
      </w:r>
    </w:p>
    <w:p>
      <w:pPr>
        <w:pStyle w:val="BodyText"/>
      </w:pPr>
      <w:r>
        <w:t xml:space="preserve">A pragmatic Algamol deployment concept for this segment is a modular on-site treatment train that (1) pre-separates tramp oil and solids (e.g., ultrafiltration) and (2) applies an algae-based capture step intended to reduce dissolved metal loads and concentrate metals into a manageable biosludge stream for offsite recycling or downstream recovery. A representative small-system cost envelope cited in the compiled business-case inputs is total CAPEX ~$110k–$310k with annual OPEX ~$28k–$73k/year (inclusive of chemicals, energy, labor, membrane replacement, and sludge handling). If such a system replaces (or meaningfully reduces) offsite hauling of coolant/wastewater at $130–$800/m³, simple paybacks can be short (often &lt;2 years) even before assigning any value to recovered cobalt/rare earths, because disposal costs can dominate lifecycle economics at small industrial sites.</w:t>
      </w:r>
    </w:p>
    <w:bookmarkEnd w:id="20"/>
    <w:bookmarkStart w:id="21" w:name="target-customer-profile"/>
    <w:p>
      <w:pPr>
        <w:pStyle w:val="Heading2"/>
      </w:pPr>
      <w:r>
        <w:t xml:space="preserve">Target customer profile</w:t>
      </w:r>
    </w:p>
    <w:p>
      <w:pPr>
        <w:pStyle w:val="FirstParagraph"/>
      </w:pPr>
      <w:r>
        <w:t xml:space="preserve">The target customer is a defense-sector magnet machining and finishing facility or subcontractor that handles high-temperature rare-earth magnets (SmCo and high-coercivity NdFeB) as finished-to-print parts or precision-machined blanks, and therefore runs multiple wet machining steps requiring recirculating coolant and periodic sump change-out and sludge handling. In practice, these sites can include integrated magnet manufacturers and machining houses prioritized for pilots such as EEC/Permag (Landisville, PA), Arnold (multiple sites), and VAC (Sumter, SC).</w:t>
      </w:r>
    </w:p>
    <w:p>
      <w:pPr>
        <w:pStyle w:val="BodyText"/>
      </w:pPr>
      <w:r>
        <w:t xml:space="preserve">Operationally, coolant streams are typically high-water-content emulsions; one source notes coolant can be up to 10% concentrate mixed with 90% water, and another notes the remaining liquid after removing sludge and oils is often ~90–98% water. For grinding operations on RE-magnet materials, published process data indicate coolant can be applied at ~5% concentration with a throughput of ~30–50 L/min per wheel, and that grinding slurries can retain from &lt;1% to &gt;20% cooling agent after on-site solid–liquid separation and recirculation.</w:t>
      </w:r>
    </w:p>
    <w:p>
      <w:pPr>
        <w:pStyle w:val="BodyText"/>
      </w:pPr>
      <w:r>
        <w:t xml:space="preserve">For business-case sizing, an indicative wastewater generation range used in the business-case inputs is ~5–50 m³/day depending on facility size and operational intensity. For comparison, metalworking facilities with smaller footprints can report far lower volumes (e.g., ~2 m³/month in one automotive metalworking wastewater case study), highlighting that volumes are extremely site-specific and often depend on coolant management practices and recirculation discipline.</w:t>
      </w:r>
    </w:p>
    <w:bookmarkEnd w:id="21"/>
    <w:bookmarkStart w:id="22" w:name="wastewater-characterization"/>
    <w:p>
      <w:pPr>
        <w:pStyle w:val="Heading2"/>
      </w:pPr>
      <w:r>
        <w:t xml:space="preserve">Wastewater characterization</w:t>
      </w:r>
    </w:p>
    <w:p>
      <w:pPr>
        <w:pStyle w:val="FirstParagraph"/>
      </w:pPr>
      <w:r>
        <w:t xml:space="preserve">A defensible near-term characterization is to treat magnet-machining coolant wastewater as an oily, metal-bearing wastewater with substantial solids (swarf/abrasives) and variable oil content, rather than as a single uniform stream with fixed dissolved-metal concentrations. The most operationally relevant descriptors for treatment selection and permitting are (a) the emulsion/oil fraction, (b) suspended solids and fine metallic particles, and (c) pH and discharge acceptability for sewer or surface-water pathways.</w:t>
      </w:r>
    </w:p>
    <w:p>
      <w:pPr>
        <w:pStyle w:val="BodyText"/>
      </w:pPr>
      <w:r>
        <w:t xml:space="preserve">From the available sources, key measurable characteristics and constraints include:</w:t>
      </w:r>
    </w:p>
    <w:p>
      <w:pPr>
        <w:pStyle w:val="Compact"/>
        <w:numPr>
          <w:ilvl w:val="0"/>
          <w:numId w:val="1001"/>
        </w:numPr>
      </w:pPr>
      <w:r>
        <w:rPr>
          <w:b/>
          <w:bCs/>
        </w:rPr>
        <w:t xml:space="preserve">pH envelope for sewer acceptability</w:t>
      </w:r>
      <w:r>
        <w:t xml:space="preserve">: one guidance document notes spent cutting fluids are generally acceptable for discharge to municipal sanitary sewers when pH is between 6.0 and 9.0 (subject to local approval).</w:t>
      </w:r>
    </w:p>
    <w:p>
      <w:pPr>
        <w:pStyle w:val="Compact"/>
        <w:numPr>
          <w:ilvl w:val="0"/>
          <w:numId w:val="1001"/>
        </w:numPr>
      </w:pPr>
      <w:r>
        <w:rPr>
          <w:b/>
          <w:bCs/>
        </w:rPr>
        <w:t xml:space="preserve">Oil limits</w:t>
      </w:r>
      <w:r>
        <w:t xml:space="preserve">: the same source gives an example acceptance criterion that tramp oil concentrations do not exceed 100 mg/L for discharge to municipal sanitary sewers (again subject to local sewer authority).</w:t>
      </w:r>
    </w:p>
    <w:p>
      <w:pPr>
        <w:pStyle w:val="Compact"/>
        <w:numPr>
          <w:ilvl w:val="0"/>
          <w:numId w:val="1001"/>
        </w:numPr>
      </w:pPr>
      <w:r>
        <w:rPr>
          <w:b/>
          <w:bCs/>
        </w:rPr>
        <w:t xml:space="preserve">Analytical comparators</w:t>
      </w:r>
      <w:r>
        <w:t xml:space="preserve">: an industrial coolant disposal resource provides an example table of measured results and “legal limits” for several parameters, including fats/oil/grease and total petroleum hydrocarbons, and TCLP metals comparators (e.g., total chromium result 0.008 mg/L with a 5.0 mg/L comparator).</w:t>
      </w:r>
    </w:p>
    <w:p>
      <w:pPr>
        <w:pStyle w:val="FirstParagraph"/>
      </w:pPr>
      <w:r>
        <w:t xml:space="preserve">For rare-earth magnet grinding specifically, the “slurry” is not only wastewater; it is a multi-phase mixture of metallic swarf, abrasives from the grinding media, and coolant, with remaining coolant content varying widely depending on separation effectiveness. In one study of NdFeB grinding slurry handling, up to 5% of the magnetic alloy can end up in the slurry sink, which directly links tighter machining and finishing requirements to higher metal-bearing waste generation.</w:t>
      </w:r>
    </w:p>
    <w:p>
      <w:pPr>
        <w:pStyle w:val="BodyText"/>
      </w:pPr>
      <w:r>
        <w:t xml:space="preserve">The provided sources do not supply reliable, defense-magnet-specific dissolved concentration ranges for Nd/Pr/Dy/Sm/Co/Fe in coolant wastewater, and one review explicitly notes it does not address wastewater generation rates from machining facilities or grinding coolant usage, reinforcing the need for site sampling rather than generic concentration assumptions.</w:t>
      </w:r>
    </w:p>
    <w:bookmarkEnd w:id="22"/>
    <w:bookmarkStart w:id="25" w:name="current-cost-baseline"/>
    <w:p>
      <w:pPr>
        <w:pStyle w:val="Heading2"/>
      </w:pPr>
      <w:r>
        <w:t xml:space="preserve">Current cost baseline</w:t>
      </w:r>
    </w:p>
    <w:bookmarkStart w:id="23" w:name="cost-drivers"/>
    <w:p>
      <w:pPr>
        <w:pStyle w:val="Heading3"/>
      </w:pPr>
      <w:r>
        <w:t xml:space="preserve">Cost drivers</w:t>
      </w:r>
    </w:p>
    <w:p>
      <w:pPr>
        <w:pStyle w:val="FirstParagraph"/>
      </w:pPr>
      <w:r>
        <w:t xml:space="preserve">The “cost of doing nothing” is typically a combination of coolant purchase/replacement, offsite hauling and disposal (especially if classified hazardous), minimum pickup charges, and recurring compliance/testing burdens associated with hazardous classification and discharge approvals. Coolant itself can be expensive (reported up to $50/gal in some contexts), which increases the economic value of extending coolant life through recycling or separation-based maintenance programs.</w:t>
      </w:r>
    </w:p>
    <w:p>
      <w:pPr>
        <w:pStyle w:val="BodyText"/>
      </w:pPr>
      <w:r>
        <w:t xml:space="preserve">Disposal costs vary widely by location, waste type, and packaging (bulk vs drum), and sources report a broad range of disposal prices from $0.25/gal to $6/gal and beyond (including higher “expensive” categories). One industry resource summarizes offsite hazardous disposal as $0.50–$3.00/gal ($130–$800/m³), and user discussions show that small-volume drum pickups can cost on the order of ~$490 per 55-gal drum (~$8.9/gal).</w:t>
      </w:r>
    </w:p>
    <w:bookmarkEnd w:id="23"/>
    <w:bookmarkStart w:id="24" w:name="baseline-cost-range"/>
    <w:p>
      <w:pPr>
        <w:pStyle w:val="Heading3"/>
      </w:pPr>
      <w:r>
        <w:t xml:space="preserve">Baseline cost range</w:t>
      </w:r>
    </w:p>
    <w:p>
      <w:pPr>
        <w:pStyle w:val="FirstParagraph"/>
      </w:pPr>
      <w:r>
        <w:t xml:space="preserve">Using the commonly cited $130–$800/m³ offsite hazardous disposal range, annual offsite disposal cost scales linearly with wastewater volume and can dominate total operating cost at mid-sized machining sites. The table below shows the implied annual hauling/disposal spend for two representative facility scales (excluding internal labor, manifests, sampling, and minimum pickup charges).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Facility scale</w:t>
            </w:r>
          </w:p>
        </w:tc>
        <w:tc>
          <w:tcPr/>
          <w:p>
            <w:pPr>
              <w:pStyle w:val="Compact"/>
              <w:jc w:val="right"/>
            </w:pPr>
            <w:r>
              <w:t xml:space="preserve">Wastewater volume assumption</w:t>
            </w:r>
          </w:p>
        </w:tc>
        <w:tc>
          <w:tcPr/>
          <w:p>
            <w:pPr>
              <w:pStyle w:val="Compact"/>
              <w:jc w:val="right"/>
            </w:pPr>
            <w:r>
              <w:t xml:space="preserve">Annual volume</w:t>
            </w:r>
          </w:p>
        </w:tc>
        <w:tc>
          <w:tcPr/>
          <w:p>
            <w:pPr>
              <w:pStyle w:val="Compact"/>
              <w:jc w:val="right"/>
            </w:pPr>
            <w:r>
              <w:t xml:space="preserve">Offsite disposal cost range</w:t>
            </w:r>
          </w:p>
        </w:tc>
        <w:tc>
          <w:tcPr/>
          <w:p>
            <w:pPr>
              <w:pStyle w:val="Compact"/>
              <w:jc w:val="right"/>
            </w:pPr>
            <w:r>
              <w:t xml:space="preserve">Implied annual disposal spend</w:t>
            </w:r>
          </w:p>
        </w:tc>
      </w:tr>
      <w:tr>
        <w:tc>
          <w:tcPr/>
          <w:p>
            <w:pPr>
              <w:pStyle w:val="Compact"/>
            </w:pPr>
            <w:r>
              <w:t xml:space="preserve">Scenario A</w:t>
            </w:r>
          </w:p>
        </w:tc>
        <w:tc>
          <w:tcPr/>
          <w:p>
            <w:pPr>
              <w:pStyle w:val="Compact"/>
              <w:jc w:val="right"/>
            </w:pPr>
            <w:r>
              <w:t xml:space="preserve">5 m³/day</w:t>
            </w:r>
          </w:p>
        </w:tc>
        <w:tc>
          <w:tcPr/>
          <w:p>
            <w:pPr>
              <w:pStyle w:val="Compact"/>
              <w:jc w:val="right"/>
            </w:pPr>
            <w:r>
              <w:t xml:space="preserve">1,825 m³/yr</w:t>
            </w:r>
          </w:p>
        </w:tc>
        <w:tc>
          <w:tcPr/>
          <w:p>
            <w:pPr>
              <w:pStyle w:val="Compact"/>
              <w:jc w:val="right"/>
            </w:pPr>
            <w:r>
              <w:t xml:space="preserve">$130–$800/m³</w:t>
            </w:r>
          </w:p>
        </w:tc>
        <w:tc>
          <w:tcPr/>
          <w:p>
            <w:pPr>
              <w:pStyle w:val="Compact"/>
              <w:jc w:val="right"/>
            </w:pPr>
            <w:r>
              <w:t xml:space="preserve">~$237k–$1.46M/yr</w:t>
            </w:r>
          </w:p>
        </w:tc>
      </w:tr>
      <w:tr>
        <w:tc>
          <w:tcPr/>
          <w:p>
            <w:pPr>
              <w:pStyle w:val="Compact"/>
            </w:pPr>
            <w:r>
              <w:t xml:space="preserve">Scenario B</w:t>
            </w:r>
          </w:p>
        </w:tc>
        <w:tc>
          <w:tcPr/>
          <w:p>
            <w:pPr>
              <w:pStyle w:val="Compact"/>
              <w:jc w:val="right"/>
            </w:pPr>
            <w:r>
              <w:t xml:space="preserve">20 m³/day</w:t>
            </w:r>
          </w:p>
        </w:tc>
        <w:tc>
          <w:tcPr/>
          <w:p>
            <w:pPr>
              <w:pStyle w:val="Compact"/>
              <w:jc w:val="right"/>
            </w:pPr>
            <w:r>
              <w:t xml:space="preserve">7,300 m³/yr</w:t>
            </w:r>
          </w:p>
        </w:tc>
        <w:tc>
          <w:tcPr/>
          <w:p>
            <w:pPr>
              <w:pStyle w:val="Compact"/>
              <w:jc w:val="right"/>
            </w:pPr>
            <w:r>
              <w:t xml:space="preserve">$130–$800/m³</w:t>
            </w:r>
          </w:p>
        </w:tc>
        <w:tc>
          <w:tcPr/>
          <w:p>
            <w:pPr>
              <w:pStyle w:val="Compact"/>
              <w:jc w:val="right"/>
            </w:pPr>
            <w:r>
              <w:t xml:space="preserve">~$949k–$5.84M/yr</w:t>
            </w:r>
          </w:p>
        </w:tc>
      </w:tr>
    </w:tbl>
    <w:p>
      <w:pPr>
        <w:pStyle w:val="BodyText"/>
      </w:pPr>
      <w:r>
        <w:t xml:space="preserve">These ranges are consistent with the general observation that disposal costs depend strongly on jurisdiction and materials processed, and that high-cost regions can see materially higher per-gallon charges.</w:t>
      </w:r>
    </w:p>
    <w:bookmarkEnd w:id="24"/>
    <w:bookmarkEnd w:id="25"/>
    <w:bookmarkStart w:id="27" w:name="proposed-system"/>
    <w:p>
      <w:pPr>
        <w:pStyle w:val="Heading2"/>
      </w:pPr>
      <w:r>
        <w:t xml:space="preserve">Proposed system</w:t>
      </w:r>
    </w:p>
    <w:p>
      <w:pPr>
        <w:pStyle w:val="FirstParagraph"/>
      </w:pPr>
      <w:r>
        <w:t xml:space="preserve">A defensible modular treatment concept for a defense magnet machining facility pairs well-established physical separation with an Algamol algae-based step that is positioned to support metals capture/recovery from wastewater, with a final pH/discharge polishing step for sewer or reuse pathways where permitted. This modularization is important because multiple sources highlight that basic requirements often begin with pH neutralization, and that local sewer utilities must be consulted before discharge of metalworking liquids.</w:t>
      </w:r>
    </w:p>
    <w:bookmarkStart w:id="26" w:name="process-flow"/>
    <w:p>
      <w:pPr>
        <w:pStyle w:val="Heading3"/>
      </w:pPr>
      <w:r>
        <w:t xml:space="preserve">Process flow</w:t>
      </w:r>
    </w:p>
    <w:p>
      <w:pPr>
        <w:pStyle w:val="FirstParagraph"/>
      </w:pPr>
      <w:r>
        <w:t xml:space="preserve">A practical process flow consistent with the source evidence is:</w:t>
      </w:r>
    </w:p>
    <w:p>
      <w:pPr>
        <w:pStyle w:val="Compact"/>
        <w:numPr>
          <w:ilvl w:val="0"/>
          <w:numId w:val="1002"/>
        </w:numPr>
      </w:pPr>
      <w:r>
        <w:rPr>
          <w:b/>
          <w:bCs/>
        </w:rPr>
        <w:t xml:space="preserve">Equalization and oil/solids management</w:t>
      </w:r>
      <w:r>
        <w:t xml:space="preserve"> </w:t>
      </w:r>
      <w:r>
        <w:t xml:space="preserve">(tank + skimming/filtration), to dampen variability and remove free/tramp oils and large solids before membranes or biosorption.</w:t>
      </w:r>
    </w:p>
    <w:p>
      <w:pPr>
        <w:pStyle w:val="Compact"/>
        <w:numPr>
          <w:ilvl w:val="0"/>
          <w:numId w:val="1002"/>
        </w:numPr>
      </w:pPr>
      <w:r>
        <w:rPr>
          <w:b/>
          <w:bCs/>
        </w:rPr>
        <w:t xml:space="preserve">Ultrafiltration pre-treatment</w:t>
      </w:r>
      <w:r>
        <w:t xml:space="preserve"> </w:t>
      </w:r>
      <w:r>
        <w:t xml:space="preserve">to break emulsions and remove fine suspended solids, producing a treated aqueous phase plus a concentrated oily phase that can be sent for oil recovery or incineration.</w:t>
      </w:r>
    </w:p>
    <w:p>
      <w:pPr>
        <w:pStyle w:val="Compact"/>
        <w:numPr>
          <w:ilvl w:val="0"/>
          <w:numId w:val="1002"/>
        </w:numPr>
      </w:pPr>
      <w:r>
        <w:rPr>
          <w:b/>
          <w:bCs/>
        </w:rPr>
        <w:t xml:space="preserve">Algamol bioreactor module</w:t>
      </w:r>
      <w:r>
        <w:t xml:space="preserve"> </w:t>
      </w:r>
      <w:r>
        <w:t xml:space="preserve">as the primary metal-capture step; Algamol states its technology supports the recovery of rare earth metals from wastewater, while broader literature indicates algae-based REE biosorption is promising but still early-stage for real wastes and generally benefits from mildly acidic operating conditions (often pH 3–6, with a commonly reported optimum around pH 5).</w:t>
      </w:r>
    </w:p>
    <w:p>
      <w:pPr>
        <w:pStyle w:val="Compact"/>
        <w:numPr>
          <w:ilvl w:val="0"/>
          <w:numId w:val="1002"/>
        </w:numPr>
      </w:pPr>
      <w:r>
        <w:rPr>
          <w:b/>
          <w:bCs/>
        </w:rPr>
        <w:t xml:space="preserve">Polishing and discharge conditioning</w:t>
      </w:r>
      <w:r>
        <w:t xml:space="preserve"> </w:t>
      </w:r>
      <w:r>
        <w:t xml:space="preserve">(pH adjustment and final filtration) to meet site-specific discharge requirements (e.g., sewer acceptance pH 6–9, tramp oil targets).</w:t>
      </w:r>
    </w:p>
    <w:p>
      <w:pPr>
        <w:pStyle w:val="Compact"/>
        <w:numPr>
          <w:ilvl w:val="0"/>
          <w:numId w:val="1002"/>
        </w:numPr>
      </w:pPr>
      <w:r>
        <w:rPr>
          <w:b/>
          <w:bCs/>
        </w:rPr>
        <w:t xml:space="preserve">Sludge handling</w:t>
      </w:r>
      <w:r>
        <w:t xml:space="preserve"> </w:t>
      </w:r>
      <w:r>
        <w:t xml:space="preserve">to dewater and manage captured solids; depending on composition and TCLP results, sludge may be disposed as hazardous or non-hazardous, with very different unit costs.</w:t>
      </w:r>
    </w:p>
    <w:p>
      <w:pPr>
        <w:pStyle w:val="FirstParagraph"/>
      </w:pPr>
      <w:r>
        <w:t xml:space="preserve">This approach aligns with the observation that precipitation/neutralization plus settling is a standard metals-removal paradigm for aqueous metal-bearing streams, even if the ultimate objective is recovery rather than disposal.</w:t>
      </w:r>
    </w:p>
    <w:bookmarkEnd w:id="26"/>
    <w:bookmarkEnd w:id="27"/>
    <w:bookmarkStart w:id="28" w:name="capital-cost-estimate"/>
    <w:p>
      <w:pPr>
        <w:pStyle w:val="Heading2"/>
      </w:pPr>
      <w:r>
        <w:t xml:space="preserve">Capital cost estimate</w:t>
      </w:r>
    </w:p>
    <w:p>
      <w:pPr>
        <w:pStyle w:val="FirstParagraph"/>
      </w:pPr>
      <w:r>
        <w:t xml:space="preserve">On the low end, small coolant ultrafiltration units are reported at ~$5,000–$13,000 for equipment sized to ~100–300 gallons/day, which can support pilots, point-of-use recycling, or small shops but is typically insufficient as the sole treatment method for larger defense machining facilities generating multi-m³/day streams.</w:t>
      </w:r>
    </w:p>
    <w:p>
      <w:pPr>
        <w:pStyle w:val="BodyText"/>
      </w:pPr>
      <w:r>
        <w:t xml:space="preserve">For a more comprehensive modular on-site system (UF + bioreactor + pH dosing + controls/installation), the business-case inputs cite an estimated total CAPEX of ~$110k–$310k, with an illustrative component breakdown of UF membrane unit $30k–$80k, bioreactor module $50k–$150k, pH adjustment/chemical dosing $10k–$30k, and controls/piping/installation $20k–$50k.</w:t>
      </w:r>
    </w:p>
    <w:p>
      <w:pPr>
        <w:pStyle w:val="BodyText"/>
      </w:pPr>
      <w:r>
        <w:t xml:space="preserve">These figures are directionally consistent with broader industrial wastewater guidance that places small industrial system CAPEX in the ~$50k–$500k range depending on complexity and customization, and with vendor commentary that system upgrades can require investments such as ~$65k–$200k and that complex multi-stage systems can reach ~$400k to &gt;$1.5M depending on volume and requirements.</w:t>
      </w:r>
    </w:p>
    <w:bookmarkEnd w:id="28"/>
    <w:bookmarkStart w:id="29" w:name="operating-cost-estimate"/>
    <w:p>
      <w:pPr>
        <w:pStyle w:val="Heading2"/>
      </w:pPr>
      <w:r>
        <w:t xml:space="preserve">Operating cost estimate</w:t>
      </w:r>
    </w:p>
    <w:p>
      <w:pPr>
        <w:pStyle w:val="FirstParagraph"/>
      </w:pPr>
      <w:r>
        <w:t xml:space="preserve">The business-case inputs provide an estimated annual OPEX range of ~$28k–$73k/year, with the cost drivers itemized as chemicals (NaOH/acid/nutrients) $5k–$15k/year, membrane replacement $5k–$10k/year, energy $3k–$8k/year, labor (part-time operator) $10k–$25k/year, and sludge disposal/processing $5k–$15k/year.</w:t>
      </w:r>
    </w:p>
    <w:p>
      <w:pPr>
        <w:pStyle w:val="BodyText"/>
      </w:pPr>
      <w:r>
        <w:t xml:space="preserve">Independent sources reinforce why OPEX is often the dominant cost driver over lifecycle horizons; for example, one wastewater treatment provider notes that operating costs (including disposal/recycling, electricity, staff/analytics/maintenance) can materially exceed the initial investment over time, and that disposal and recycling alone can represent a large fraction of overall lifecycle cost.</w:t>
      </w:r>
    </w:p>
    <w:p>
      <w:pPr>
        <w:pStyle w:val="BodyText"/>
      </w:pPr>
      <w:r>
        <w:t xml:space="preserve">Where discharge to a POTW is feasible after treatment, unit “discharge” costs can be far lower than hazardous hauling; an EPA unit-cost compendium lists discharge to POTW (sewer) at $1.50 per 1,000 gallons (exclusive of the facility’s pretreatment costs and any local surcharges), which is roughly $0.40/m³. However, the same compendium also lists a cost for trucking offsite to POTW management at $0.07/gal (excluding transportation), illustrating that logistics and packaging can still impose meaningful costs even when the endpoint is a municipal facility rather than hazardous disposal.</w:t>
      </w:r>
    </w:p>
    <w:bookmarkEnd w:id="29"/>
    <w:bookmarkStart w:id="30" w:name="revenue-streams"/>
    <w:p>
      <w:pPr>
        <w:pStyle w:val="Heading2"/>
      </w:pPr>
      <w:r>
        <w:t xml:space="preserve">Revenue streams</w:t>
      </w:r>
    </w:p>
    <w:p>
      <w:pPr>
        <w:pStyle w:val="FirstParagraph"/>
      </w:pPr>
      <w:r>
        <w:t xml:space="preserve">The most defensible “revenue” mechanism in the near-term business case is</w:t>
      </w:r>
      <w:r>
        <w:t xml:space="preserve"> </w:t>
      </w:r>
      <w:r>
        <w:rPr>
          <w:b/>
          <w:bCs/>
        </w:rPr>
        <w:t xml:space="preserve">avoided disposal</w:t>
      </w:r>
      <w:r>
        <w:t xml:space="preserve">, because offsite hazardous disposal costs are directly cited and can be very large at multi-m³/day volumes. Additional potential value can come from</w:t>
      </w:r>
      <w:r>
        <w:t xml:space="preserve"> </w:t>
      </w:r>
      <w:r>
        <w:rPr>
          <w:b/>
          <w:bCs/>
        </w:rPr>
        <w:t xml:space="preserve">recovered metals</w:t>
      </w:r>
      <w:r>
        <w:t xml:space="preserve">, but the evidence base specific to “magnet machining coolant” recovery is currently thinner than for solid swarf and grinding slurries, so metal-recovery revenues should be treated as upside dependent on sampling and downstream refining partnerships.</w:t>
      </w:r>
    </w:p>
    <w:p>
      <w:pPr>
        <w:pStyle w:val="BodyText"/>
      </w:pPr>
      <w:r>
        <w:t xml:space="preserve">Still, multiple sources support the plausibility of metal value capture from magnet-related wastes:</w:t>
      </w:r>
    </w:p>
    <w:p>
      <w:pPr>
        <w:pStyle w:val="Compact"/>
        <w:numPr>
          <w:ilvl w:val="0"/>
          <w:numId w:val="1003"/>
        </w:numPr>
      </w:pPr>
      <w:r>
        <w:rPr>
          <w:b/>
          <w:bCs/>
        </w:rPr>
        <w:t xml:space="preserve">Cobalt value from SmCo streams</w:t>
      </w:r>
      <w:r>
        <w:t xml:space="preserve">: the business-case inputs cite an indicative cobalt value of $24–$34/kg for recovered cobalt from SmCo streams, which frames the potential upside when cobalt-rich solids are captured into a concentrated sludge rather than diluted into offsite liquid disposal.</w:t>
      </w:r>
    </w:p>
    <w:p>
      <w:pPr>
        <w:pStyle w:val="Compact"/>
        <w:numPr>
          <w:ilvl w:val="0"/>
          <w:numId w:val="1003"/>
        </w:numPr>
      </w:pPr>
      <w:r>
        <w:rPr>
          <w:b/>
          <w:bCs/>
        </w:rPr>
        <w:t xml:space="preserve">Rare earth concentrate value benchmark</w:t>
      </w:r>
      <w:r>
        <w:t xml:space="preserve">: the business-case inputs cite a benchmark value of ~$24k–$30k per “tonne of equivalent swarf” for recovered REE concentrate, which can be used as a planning proxy for high-REE solids streams if Algamol’s biosludge can be routed to a recycler/refiner.</w:t>
      </w:r>
    </w:p>
    <w:p>
      <w:pPr>
        <w:pStyle w:val="Compact"/>
        <w:numPr>
          <w:ilvl w:val="0"/>
          <w:numId w:val="1003"/>
        </w:numPr>
      </w:pPr>
      <w:r>
        <w:rPr>
          <w:b/>
          <w:bCs/>
        </w:rPr>
        <w:t xml:space="preserve">Grinding slurry as an REE-bearing waste</w:t>
      </w:r>
      <w:r>
        <w:t xml:space="preserve">: a NdFeB grinding slurry study notes that grinding slurries are mixtures of swarf/abrasives/coolant and that up to 5% of alloy can end up in this sink, implying a direct feedstock for recovery if captured and segregated.</w:t>
      </w:r>
    </w:p>
    <w:p>
      <w:pPr>
        <w:pStyle w:val="Compact"/>
        <w:numPr>
          <w:ilvl w:val="0"/>
          <w:numId w:val="1003"/>
        </w:numPr>
      </w:pPr>
      <w:r>
        <w:rPr>
          <w:b/>
          <w:bCs/>
        </w:rPr>
        <w:t xml:space="preserve">Commercial feasibility of high recovery/purity in related routes</w:t>
      </w:r>
      <w:r>
        <w:t xml:space="preserve">: literature summaries report recovery methods such as membrane-assisted solvent extraction at ~95% REE recovery and molten salt electrolysis producing neodymium at 99.78% purity, indicating that high recovery and high purity are feasible somewhere in the downstream chain even if not performed on-site at the machine shop.</w:t>
      </w:r>
    </w:p>
    <w:bookmarkEnd w:id="30"/>
    <w:bookmarkStart w:id="34" w:name="roi-and-payback-analysis"/>
    <w:p>
      <w:pPr>
        <w:pStyle w:val="Heading2"/>
      </w:pPr>
      <w:r>
        <w:t xml:space="preserve">ROI and payback analysis</w:t>
      </w:r>
    </w:p>
    <w:p>
      <w:pPr>
        <w:pStyle w:val="FirstParagraph"/>
      </w:pPr>
      <w:r>
        <w:t xml:space="preserve">This ROI model intentionally separates (A) “avoided disposal” economics (typically bankable) from (B) “recovered metals” economics (typically upside), because many sources emphasize classification and local regulatory context as the decisive cost drivers rather than the theoretical value of dilute dissolved metals.</w:t>
      </w:r>
    </w:p>
    <w:bookmarkStart w:id="31" w:name="scenario-a"/>
    <w:p>
      <w:pPr>
        <w:pStyle w:val="Heading3"/>
      </w:pPr>
      <w:r>
        <w:t xml:space="preserve">Scenario A</w:t>
      </w:r>
    </w:p>
    <w:p>
      <w:pPr>
        <w:pStyle w:val="FirstParagraph"/>
      </w:pPr>
      <w:r>
        <w:t xml:space="preserve">For a facility generating 5 m³/day (1,825 m³/year), the implied annual offsite disposal spend at $130–$800/m³ is ~$237k–$1.46M/year. If Algamol’s modular system is implemented with annual OPEX ~$28k–$73k/year, the annual “avoided disposal minus treatment OPEX” benefit is approximately ~$164k–$1.43M/year (ignoring residual offsite costs for any unrecovered concentrate and ignoring potential metal revenues). With CAPEX ~$110k–$310k, simple payback is therefore approximately ~0.1–1.9 years across the disposal-cost range, which is consistent with third-party wastewater industry statements that some clients see ROIs as fast as ~1.5 years and that typical ranges can be ~3–4 years depending on context and system scope.</w:t>
      </w:r>
    </w:p>
    <w:bookmarkEnd w:id="31"/>
    <w:bookmarkStart w:id="32" w:name="scenario-b"/>
    <w:p>
      <w:pPr>
        <w:pStyle w:val="Heading3"/>
      </w:pPr>
      <w:r>
        <w:t xml:space="preserve">Scenario B</w:t>
      </w:r>
    </w:p>
    <w:p>
      <w:pPr>
        <w:pStyle w:val="FirstParagraph"/>
      </w:pPr>
      <w:r>
        <w:t xml:space="preserve">For a facility generating 20 m³/day (7,300 m³/year), the implied annual offsite disposal spend at $130–$800/m³ is ~$949k–$5.84M/year. Using the same OPEX estimate ($28k–$73k/year) and CAPEX ($110k–$310k), simple paybacks compress to weeks-to-months in the high hauling-cost case and remain well below 1 year in most cases, even before any recovery crediting, because the baseline is dominated by high unit disposal costs applied to large annual volumes.</w:t>
      </w:r>
    </w:p>
    <w:bookmarkEnd w:id="32"/>
    <w:bookmarkStart w:id="33" w:name="sensitivities"/>
    <w:p>
      <w:pPr>
        <w:pStyle w:val="Heading3"/>
      </w:pPr>
      <w:r>
        <w:t xml:space="preserve">Sensitivities</w:t>
      </w:r>
    </w:p>
    <w:p>
      <w:pPr>
        <w:pStyle w:val="FirstParagraph"/>
      </w:pPr>
      <w:r>
        <w:t xml:space="preserve">The dominant sensitivities that determine real-world payback are (1) whether the waste can be reclassified away from hazardous through proper characterization and segregation, (2) whether on-site recycling can materially reduce disposal volumes (e.g., via ultrafiltration and sump management), and (3) the local jurisdiction’s hauling/disposal and sewer acceptance constraints. A qualitative case example illustrates the power of classification and recycling: one client reduced haul-away costs from ~$275–$300 per 55-gallon barrel to ~$90 per barrel by relabeling for recycling, and other sources report &gt;80% disposal-cost reduction after implementing cutting fluid recycling systems, demonstrating that the “disposal avoidance” lever can be very large in practice.</w:t>
      </w:r>
    </w:p>
    <w:bookmarkEnd w:id="33"/>
    <w:bookmarkEnd w:id="34"/>
    <w:bookmarkStart w:id="35" w:name="strategic-value-proposition"/>
    <w:p>
      <w:pPr>
        <w:pStyle w:val="Heading2"/>
      </w:pPr>
      <w:r>
        <w:t xml:space="preserve">Strategic value proposition</w:t>
      </w:r>
    </w:p>
    <w:p>
      <w:pPr>
        <w:pStyle w:val="FirstParagraph"/>
      </w:pPr>
      <w:r>
        <w:t xml:space="preserve">Beyond direct cost savings, Algamol can position a defense-magnet machining wastewater solution around three strategic dimensions that are evidence-supported in the source set.</w:t>
      </w:r>
    </w:p>
    <w:p>
      <w:pPr>
        <w:pStyle w:val="BodyText"/>
      </w:pPr>
      <w:r>
        <w:t xml:space="preserve">First,</w:t>
      </w:r>
      <w:r>
        <w:t xml:space="preserve"> </w:t>
      </w:r>
      <w:r>
        <w:rPr>
          <w:b/>
          <w:bCs/>
        </w:rPr>
        <w:t xml:space="preserve">supply chain and critical-minerals circularity</w:t>
      </w:r>
      <w:r>
        <w:t xml:space="preserve"> </w:t>
      </w:r>
      <w:r>
        <w:t xml:space="preserve">creates a strategic rationale to keep REE- and cobalt-bearing residues on-site or in domestic recycling loops; defense supply chain policy is increasingly focused on magnet and rare earth supply vulnerabilities, and DoD has invested &gt;$439M since 2020 to establish domestic rare earth element supply chains. A wastewater-to-concentrate pathway that supports downstream recovery can be framed as an enabling step in “mine-to-magnet” resiliency—especially for high-value residues like SmCo-related cobalt-bearing solids.</w:t>
      </w:r>
    </w:p>
    <w:p>
      <w:pPr>
        <w:pStyle w:val="BodyText"/>
      </w:pPr>
      <w:r>
        <w:t xml:space="preserve">Second,</w:t>
      </w:r>
      <w:r>
        <w:t xml:space="preserve"> </w:t>
      </w:r>
      <w:r>
        <w:rPr>
          <w:b/>
          <w:bCs/>
        </w:rPr>
        <w:t xml:space="preserve">technology differentiation via biosorption</w:t>
      </w:r>
      <w:r>
        <w:t xml:space="preserve"> </w:t>
      </w:r>
      <w:r>
        <w:t xml:space="preserve">is plausible but must be communicated honestly as an emerging pathway: multiple reviews note algae-based or algal-sorbent REE recovery from real wastes is still in its infancy, even though promising lab and pilot performance exists (e.g., reported removal up to 86% at pH 5 in one study, and REE sorption efficiencies in the high-90% range in other cited work). A credible commercialization narrative therefore depends on a staged pilot program with real coolant and sludge samples, consistent with calls for laboratory results to be tested with actual manufacturing wastewater.</w:t>
      </w:r>
    </w:p>
    <w:p>
      <w:pPr>
        <w:pStyle w:val="BodyText"/>
      </w:pPr>
      <w:r>
        <w:t xml:space="preserve">Third,</w:t>
      </w:r>
      <w:r>
        <w:t xml:space="preserve"> </w:t>
      </w:r>
      <w:r>
        <w:rPr>
          <w:b/>
          <w:bCs/>
        </w:rPr>
        <w:t xml:space="preserve">regulatory and permitting risk management</w:t>
      </w:r>
      <w:r>
        <w:t xml:space="preserve"> </w:t>
      </w:r>
      <w:r>
        <w:t xml:space="preserve">is intrinsically valuable because discharge permits are case-by-case and local sewer authorities require consultation, and hazardous waste determinations create testing and reporting burdens. Even without claiming universal discharge limits, Algamol can offer a compliance-oriented value proposition centered on pH management and oil/solids control to align with commonly cited sewer acceptance criteria (pH 6–9; tramp oil ≤100 mg/L) and to reduce hazardous-waste designation risk through segregation and pre-treatment.</w:t>
      </w:r>
    </w:p>
    <w:bookmarkEnd w:id="35"/>
    <w:bookmarkStart w:id="36" w:name="go-to-market-recommendations"/>
    <w:p>
      <w:pPr>
        <w:pStyle w:val="Heading2"/>
      </w:pPr>
      <w:r>
        <w:t xml:space="preserve">Go-to-market recommendations</w:t>
      </w:r>
    </w:p>
    <w:p>
      <w:pPr>
        <w:pStyle w:val="FirstParagraph"/>
      </w:pPr>
      <w:r>
        <w:t xml:space="preserve">A defensible go-to-market plan in the defense magnet machining niche should be structured as a pilot-to-scale program that converts “unknown” site-specific chemistry into bankable economic and compliance outcomes. Near-term recommended steps include:</w:t>
      </w:r>
    </w:p>
    <w:p>
      <w:pPr>
        <w:pStyle w:val="Compact"/>
        <w:numPr>
          <w:ilvl w:val="0"/>
          <w:numId w:val="1004"/>
        </w:numPr>
      </w:pPr>
      <w:r>
        <w:rPr>
          <w:b/>
          <w:bCs/>
        </w:rPr>
        <w:t xml:space="preserve">Prioritize pilots at named defense-relevant targets</w:t>
      </w:r>
      <w:r>
        <w:t xml:space="preserve"> </w:t>
      </w:r>
      <w:r>
        <w:t xml:space="preserve">(EEC/Permag, Arnold, VAC Sumter) to access real streams and establish security/compliance operating procedures early.</w:t>
      </w:r>
    </w:p>
    <w:p>
      <w:pPr>
        <w:pStyle w:val="Compact"/>
        <w:numPr>
          <w:ilvl w:val="0"/>
          <w:numId w:val="1004"/>
        </w:numPr>
      </w:pPr>
      <w:r>
        <w:rPr>
          <w:b/>
          <w:bCs/>
        </w:rPr>
        <w:t xml:space="preserve">Instrument the pilot for cost and compliance outcomes</w:t>
      </w:r>
      <w:r>
        <w:t xml:space="preserve">, including routine sampling and metals panels; published unit cost compendia provide representative costs for sampling and metals analyses (e.g., ~$36–$45 per sample and ~$89 for RCRA metals 6010; ~$171 for a “priority 17 metals” panel).</w:t>
      </w:r>
    </w:p>
    <w:p>
      <w:pPr>
        <w:pStyle w:val="Compact"/>
        <w:numPr>
          <w:ilvl w:val="0"/>
          <w:numId w:val="1004"/>
        </w:numPr>
      </w:pPr>
      <w:r>
        <w:rPr>
          <w:b/>
          <w:bCs/>
        </w:rPr>
        <w:t xml:space="preserve">Design for upstream separation first</w:t>
      </w:r>
      <w:r>
        <w:t xml:space="preserve">, because ultrafiltration is a well-established method in coolant management and produces a concentrated oil phase that is typically managed via oil recovery or incineration, reducing the load to downstream biological or adsorption steps.</w:t>
      </w:r>
    </w:p>
    <w:p>
      <w:pPr>
        <w:pStyle w:val="Compact"/>
        <w:numPr>
          <w:ilvl w:val="0"/>
          <w:numId w:val="1004"/>
        </w:numPr>
      </w:pPr>
      <w:r>
        <w:rPr>
          <w:b/>
          <w:bCs/>
        </w:rPr>
        <w:t xml:space="preserve">Commercialize with a “TCO-first” offer</w:t>
      </w:r>
      <w:r>
        <w:t xml:space="preserve">, aligning with industry messaging that hidden and ongoing costs can exceed equipment price in a few years and that the most economical solution is not always the cheapest upfront, which supports lease/service models with performance guarantees tied to disposal avoidance.</w:t>
      </w:r>
    </w:p>
    <w:bookmarkEnd w:id="36"/>
    <w:bookmarkStart w:id="37" w:name="implementation-gaps"/>
    <w:p>
      <w:pPr>
        <w:pStyle w:val="Heading2"/>
      </w:pPr>
      <w:r>
        <w:t xml:space="preserve">Implementation gaps</w:t>
      </w:r>
    </w:p>
    <w:p>
      <w:pPr>
        <w:pStyle w:val="FirstParagraph"/>
      </w:pPr>
      <w:r>
        <w:t xml:space="preserve">Several gaps in the available evidence base matter directly for Algamol’s technical de-risking and the credibility of a defense-sector business case.</w:t>
      </w:r>
    </w:p>
    <w:p>
      <w:pPr>
        <w:pStyle w:val="BodyText"/>
      </w:pPr>
      <w:r>
        <w:t xml:space="preserve">The most material gap is a lack of</w:t>
      </w:r>
      <w:r>
        <w:t xml:space="preserve"> </w:t>
      </w:r>
      <w:r>
        <w:rPr>
          <w:b/>
          <w:bCs/>
        </w:rPr>
        <w:t xml:space="preserve">published, defense-magnet-machining-specific coolant wastewater composition data</w:t>
      </w:r>
      <w:r>
        <w:t xml:space="preserve">, particularly dissolved Nd/Pr/Dy/Sm/Co/Fe concentrations, which prevents a rigorous bottom-up recovered-metal revenue forecast from wastewater alone. A second gap is the limited availability of</w:t>
      </w:r>
      <w:r>
        <w:t xml:space="preserve"> </w:t>
      </w:r>
      <w:r>
        <w:rPr>
          <w:b/>
          <w:bCs/>
        </w:rPr>
        <w:t xml:space="preserve">industrial-scale case studies</w:t>
      </w:r>
      <w:r>
        <w:t xml:space="preserve"> </w:t>
      </w:r>
      <w:r>
        <w:t xml:space="preserve">for algae-based REE recovery on real manufacturing effluents; the literature contains promising lab and pilot results, but also emphasizes the early maturity of algal sorbents for real wastes and the need for industrial validation.</w:t>
      </w:r>
    </w:p>
    <w:p>
      <w:pPr>
        <w:pStyle w:val="BodyText"/>
      </w:pPr>
      <w:r>
        <w:t xml:space="preserve">Finally, the waste form often most relevant to rare earth value capture may be</w:t>
      </w:r>
      <w:r>
        <w:t xml:space="preserve"> </w:t>
      </w:r>
      <w:r>
        <w:rPr>
          <w:b/>
          <w:bCs/>
        </w:rPr>
        <w:t xml:space="preserve">grinding slurries and solid residues</w:t>
      </w:r>
      <w:r>
        <w:t xml:space="preserve">, not the aqueous phase alone; one European-focused study notes that there is no established industry for recycling NdFeB grinding slurries in Europe and that slurries are often stored and exported to China or disposed as hazardous due to oily components, emphasizing both a market gap and a potential domestic opportunity for integrated capture and recovery solutions. A pilot program should therefore explicitly treat slurry management (segregation, dewatering, and routing to recyclers) as a core part of the value proposition, rather than positioning the solution solely as a water discharge compliance tool.</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2026-02-12T16:20:49Z</dcterms:created>
  <dcterms:modified xsi:type="dcterms:W3CDTF">2026-02-12T16:20:49Z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