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78f18e58ddd4f27091c51904eeae3683c4dbf3"/>
    <w:p>
      <w:pPr>
        <w:pStyle w:val="Heading1"/>
      </w:pPr>
      <w:r>
        <w:t xml:space="preserve">Bench-Scale Validation Protocol: Algamol System for SmCo and NdFeB Machining Coolant Treatment</w:t>
      </w:r>
    </w:p>
    <w:bookmarkStart w:id="20" w:name="objective-and-scope"/>
    <w:p>
      <w:pPr>
        <w:pStyle w:val="Heading2"/>
      </w:pPr>
      <w:r>
        <w:t xml:space="preserve">Objective and scope</w:t>
      </w:r>
    </w:p>
    <w:p>
      <w:pPr>
        <w:pStyle w:val="FirstParagraph"/>
      </w:pPr>
      <w:r>
        <w:t xml:space="preserve">This protocol is designed to validate an algae-based biosorption approach for removing and recovering rare earth elements and cobalt from defense magnet machining coolant streams, using a staged program that starts with synthetic solutions, transitions to real coolant, and then proceeds to continuous column testing.</w:t>
      </w:r>
    </w:p>
    <w:p>
      <w:pPr>
        <w:pStyle w:val="BodyText"/>
      </w:pPr>
      <w:r>
        <w:t xml:space="preserve">The experimental scope explicitly includes batch sorption testing (pH effects, dose-response, kinetics, and equilibrium/isotherms) run in triplicate with controls, followed by column tests for breakthrough and scale-up assessment.</w:t>
      </w:r>
    </w:p>
    <w:bookmarkEnd w:id="20"/>
    <w:bookmarkStart w:id="22" w:name="test-matrix-design"/>
    <w:p>
      <w:pPr>
        <w:pStyle w:val="Heading2"/>
      </w:pPr>
      <w:r>
        <w:t xml:space="preserve">Test matrix design</w:t>
      </w:r>
    </w:p>
    <w:p>
      <w:pPr>
        <w:pStyle w:val="FirstParagraph"/>
      </w:pPr>
      <w:r>
        <w:t xml:space="preserve">The work should be executed as three phases to separate fundamental biosorption behavior from real-matrix effects (oils/emulsions, suspended solids, and competing ions) and then to confirm continuous-flow performance.</w:t>
      </w:r>
    </w:p>
    <w:p>
      <w:pPr>
        <w:pStyle w:val="BodyText"/>
      </w:pPr>
      <w:r>
        <w:t xml:space="preserve">Phase 1 uses synthetic wastewaters to map pH, contact time, temperature, and biosorbent dosage over the specified screening windows (pH 3–9, 5–360 min, 0.5–10 g/L, and 20–40 °C).</w:t>
      </w:r>
    </w:p>
    <w:p>
      <w:pPr>
        <w:pStyle w:val="BodyText"/>
      </w:pPr>
      <w:r>
        <w:t xml:space="preserve">Phase 2 repeats the key Phase 1 conditions using real machining coolant (or coolant-derived aqueous phase) as the feed and includes pre-treatment for oil/emulsion removal prior to biosorption tests where needed.</w:t>
      </w:r>
    </w:p>
    <w:p>
      <w:pPr>
        <w:pStyle w:val="BodyText"/>
      </w:pPr>
      <w:r>
        <w:t xml:space="preserve">Phase 3 uses fixed-bed column tests to generate breakthrough curves and dynamic capacities, because column (fixed-bed) testing is the standard pathway for continuous flow and breakthrough studies after batch equilibrium/kinetics work.</w:t>
      </w:r>
    </w:p>
    <w:bookmarkStart w:id="21" w:name="recommended-experimental-matrix"/>
    <w:p>
      <w:pPr>
        <w:pStyle w:val="Heading3"/>
      </w:pPr>
      <w:r>
        <w:t xml:space="preserve">Recommended experimental matrix</w:t>
      </w:r>
    </w:p>
    <w:p>
      <w:pPr>
        <w:pStyle w:val="FirstParagraph"/>
      </w:pPr>
      <w:r>
        <w:t xml:space="preserve">The table below provides a practical minimum matrix aligned to the required screening windows and commonly reported biosorption behaviors (rapid uptake over 20–60 min with equilibrium typically within 2–6 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Sub-test</w:t>
            </w:r>
          </w:p>
        </w:tc>
        <w:tc>
          <w:tcPr/>
          <w:p>
            <w:pPr>
              <w:pStyle w:val="Compact"/>
            </w:pPr>
            <w:r>
              <w:t xml:space="preserve">Purpose</w:t>
            </w:r>
          </w:p>
        </w:tc>
        <w:tc>
          <w:tcPr/>
          <w:p>
            <w:pPr>
              <w:pStyle w:val="Compact"/>
            </w:pPr>
            <w:r>
              <w:t xml:space="preserve">Conditions to run</w:t>
            </w:r>
          </w:p>
        </w:tc>
        <w:tc>
          <w:tcPr/>
          <w:p>
            <w:pPr>
              <w:pStyle w:val="Compact"/>
            </w:pPr>
            <w:r>
              <w:t xml:space="preserve">Primary response variables</w:t>
            </w:r>
          </w:p>
        </w:tc>
      </w:tr>
      <w:tr>
        <w:tc>
          <w:tcPr/>
          <w:p>
            <w:pPr>
              <w:pStyle w:val="Compact"/>
            </w:pPr>
            <w:r>
              <w:t xml:space="preserve">pH edge (batch)</w:t>
            </w:r>
          </w:p>
        </w:tc>
        <w:tc>
          <w:tcPr/>
          <w:p>
            <w:pPr>
              <w:pStyle w:val="Compact"/>
            </w:pPr>
            <w:r>
              <w:t xml:space="preserve">Identify pH window where uptake is maximized without confounding hydroxide precipitation</w:t>
            </w:r>
          </w:p>
        </w:tc>
        <w:tc>
          <w:tcPr/>
          <w:p>
            <w:pPr>
              <w:pStyle w:val="Compact"/>
            </w:pPr>
            <w:r>
              <w:t xml:space="preserve">pH = 3, 4, 5, 6, 7, 8, 9 at fixed dose and time, 20–40 °C</w:t>
            </w:r>
          </w:p>
        </w:tc>
        <w:tc>
          <w:tcPr/>
          <w:p>
            <w:pPr>
              <w:pStyle w:val="Compact"/>
            </w:pPr>
            <w:r>
              <w:t xml:space="preserve">% removal, q (mg/g), evidence of precipitation (turbidity/solids)</w:t>
            </w:r>
          </w:p>
        </w:tc>
      </w:tr>
      <w:tr>
        <w:tc>
          <w:tcPr/>
          <w:p>
            <w:pPr>
              <w:pStyle w:val="Compact"/>
            </w:pPr>
            <w:r>
              <w:t xml:space="preserve">Kinetics (batch)</w:t>
            </w:r>
          </w:p>
        </w:tc>
        <w:tc>
          <w:tcPr/>
          <w:p>
            <w:pPr>
              <w:pStyle w:val="Compact"/>
            </w:pPr>
            <w:r>
              <w:t xml:space="preserve">Determine time to reach near-equilibrium and fit kinetic models</w:t>
            </w:r>
          </w:p>
        </w:tc>
        <w:tc>
          <w:tcPr/>
          <w:p>
            <w:pPr>
              <w:pStyle w:val="Compact"/>
            </w:pPr>
            <w:r>
              <w:t xml:space="preserve">t = 5, 10, 15, 30, 60, 120, 240, 360 min (or equivalent) within the allowed 5–360 min window</w:t>
            </w:r>
          </w:p>
        </w:tc>
        <w:tc>
          <w:tcPr/>
          <w:p>
            <w:pPr>
              <w:pStyle w:val="Compact"/>
            </w:pPr>
            <w:r>
              <w:t xml:space="preserve">PFO/PSO rate constants; time to 90% of equilibrium uptake</w:t>
            </w:r>
          </w:p>
        </w:tc>
      </w:tr>
      <w:tr>
        <w:tc>
          <w:tcPr/>
          <w:p>
            <w:pPr>
              <w:pStyle w:val="Compact"/>
            </w:pPr>
            <w:r>
              <w:t xml:space="preserve">Isotherms (batch)</w:t>
            </w:r>
          </w:p>
        </w:tc>
        <w:tc>
          <w:tcPr/>
          <w:p>
            <w:pPr>
              <w:pStyle w:val="Compact"/>
            </w:pPr>
            <w:r>
              <w:t xml:space="preserve">Determine qmax and affinity constants</w:t>
            </w:r>
          </w:p>
        </w:tc>
        <w:tc>
          <w:tcPr/>
          <w:p>
            <w:pPr>
              <w:pStyle w:val="Compact"/>
            </w:pPr>
            <w:r>
              <w:t xml:space="preserve">Multiple C0 points per metal system; fit Langmuir/Freundlich models</w:t>
            </w:r>
          </w:p>
        </w:tc>
        <w:tc>
          <w:tcPr/>
          <w:p>
            <w:pPr>
              <w:pStyle w:val="Compact"/>
            </w:pPr>
            <w:r>
              <w:t xml:space="preserve">Langmuir qmax, KL; Freundlich parameters</w:t>
            </w:r>
          </w:p>
        </w:tc>
      </w:tr>
      <w:tr>
        <w:tc>
          <w:tcPr/>
          <w:p>
            <w:pPr>
              <w:pStyle w:val="Compact"/>
            </w:pPr>
            <w:r>
              <w:t xml:space="preserve">Dose-response (batch)</w:t>
            </w:r>
          </w:p>
        </w:tc>
        <w:tc>
          <w:tcPr/>
          <w:p>
            <w:pPr>
              <w:pStyle w:val="Compact"/>
            </w:pPr>
            <w:r>
              <w:t xml:space="preserve">Determine minimum dose needed to meet removal targets</w:t>
            </w:r>
          </w:p>
        </w:tc>
        <w:tc>
          <w:tcPr/>
          <w:p>
            <w:pPr>
              <w:pStyle w:val="Compact"/>
            </w:pPr>
            <w:r>
              <w:t xml:space="preserve">0.5–10 g/L (screen) at fixed pH and time</w:t>
            </w:r>
          </w:p>
        </w:tc>
        <w:tc>
          <w:tcPr/>
          <w:p>
            <w:pPr>
              <w:pStyle w:val="Compact"/>
            </w:pPr>
            <w:r>
              <w:t xml:space="preserve">% removal vs g/L, q (mg/g) vs g/L</w:t>
            </w:r>
          </w:p>
        </w:tc>
      </w:tr>
      <w:tr>
        <w:tc>
          <w:tcPr/>
          <w:p>
            <w:pPr>
              <w:pStyle w:val="Compact"/>
            </w:pPr>
            <w:r>
              <w:t xml:space="preserve">Regeneration cycling</w:t>
            </w:r>
          </w:p>
        </w:tc>
        <w:tc>
          <w:tcPr/>
          <w:p>
            <w:pPr>
              <w:pStyle w:val="Compact"/>
            </w:pPr>
            <w:r>
              <w:t xml:space="preserve">Determine reusability and metal recovery</w:t>
            </w:r>
          </w:p>
        </w:tc>
        <w:tc>
          <w:tcPr/>
          <w:p>
            <w:pPr>
              <w:pStyle w:val="Compact"/>
            </w:pPr>
            <w:r>
              <w:t xml:space="preserve">≥5 adsorption/desorption cycles with acid stripping 0.01–1.0 M HCl/HNO3</w:t>
            </w:r>
          </w:p>
        </w:tc>
        <w:tc>
          <w:tcPr/>
          <w:p>
            <w:pPr>
              <w:pStyle w:val="Compact"/>
            </w:pPr>
            <w:r>
              <w:t xml:space="preserve">% desorption, capacity retention, eluate quality</w:t>
            </w:r>
          </w:p>
        </w:tc>
      </w:tr>
    </w:tbl>
    <w:bookmarkEnd w:id="21"/>
    <w:bookmarkEnd w:id="22"/>
    <w:bookmarkStart w:id="25" w:name="synthetic-wastewater-preparation"/>
    <w:p>
      <w:pPr>
        <w:pStyle w:val="Heading2"/>
      </w:pPr>
      <w:r>
        <w:t xml:space="preserve">Synthetic wastewater preparation</w:t>
      </w:r>
    </w:p>
    <w:p>
      <w:pPr>
        <w:pStyle w:val="FirstParagraph"/>
      </w:pPr>
      <w:r>
        <w:t xml:space="preserve">Synthetic matrices should be prepared from analytical-grade parent salts and made fresh as working solutions for each experimental run to reduce variability and contamination risk.</w:t>
      </w:r>
    </w:p>
    <w:p>
      <w:pPr>
        <w:pStyle w:val="BodyText"/>
      </w:pPr>
      <w:r>
        <w:t xml:space="preserve">Two synthetic wastewater families are required to represent the two defense-relevant magnet waste streams targeted in this protocol: SmCo-dominant streams (cobalt and samarium) and NdFeB-dominant streams (neodymium/praseodymium with dysprosium as the high-temperature performance driver).</w:t>
      </w:r>
    </w:p>
    <w:bookmarkStart w:id="23" w:name="smco-type-synthetic-matrix"/>
    <w:p>
      <w:pPr>
        <w:pStyle w:val="Heading3"/>
      </w:pPr>
      <w:r>
        <w:t xml:space="preserve">SmCo-type synthetic matrix</w:t>
      </w:r>
    </w:p>
    <w:p>
      <w:pPr>
        <w:pStyle w:val="FirstParagraph"/>
      </w:pPr>
      <w:r>
        <w:t xml:space="preserve">Prepare an SmCo-type solution using SmCl3, CoCl2, FeCl3, and CuSO4, targeting Sm = 50–500 mg/L and Co = 200–2000 mg/L as the primary concentration ranges for the bench challenge tests.</w:t>
      </w:r>
    </w:p>
    <w:p>
      <w:pPr>
        <w:pStyle w:val="BodyText"/>
      </w:pPr>
      <w:r>
        <w:t xml:space="preserve">If the test plan includes multicomponent interference studies (recommended for real coolants), Fe and Cu should be retained as co-solutes because multicomponent systems can show reduced uptake due to competition for limited binding sites.</w:t>
      </w:r>
    </w:p>
    <w:bookmarkEnd w:id="23"/>
    <w:bookmarkStart w:id="24" w:name="ndfeb-type-synthetic-matrix"/>
    <w:p>
      <w:pPr>
        <w:pStyle w:val="Heading3"/>
      </w:pPr>
      <w:r>
        <w:t xml:space="preserve">NdFeB-type synthetic matrix</w:t>
      </w:r>
    </w:p>
    <w:p>
      <w:pPr>
        <w:pStyle w:val="FirstParagraph"/>
      </w:pPr>
      <w:r>
        <w:t xml:space="preserve">Prepare an NdFeB-type solution using NdCl3, PrCl3, DyCl3, and FeCl3, targeting Nd = 100–1000 mg/L and Dy = 10–100 mg/L for bench challenge tests.</w:t>
      </w:r>
    </w:p>
    <w:p>
      <w:pPr>
        <w:pStyle w:val="BodyText"/>
      </w:pPr>
      <w:r>
        <w:t xml:space="preserve">Because many biosorption studies on REEs report optimal performance near pH ≈5 for dried biomass systems, the initial pH screening should include a dense set of points around pH 4–6 even though the protocol-wide screening window extends from pH 3–9.</w:t>
      </w:r>
    </w:p>
    <w:bookmarkEnd w:id="24"/>
    <w:bookmarkEnd w:id="25"/>
    <w:bookmarkStart w:id="26" w:name="algae-biomass-preparation"/>
    <w:p>
      <w:pPr>
        <w:pStyle w:val="Heading2"/>
      </w:pPr>
      <w:r>
        <w:t xml:space="preserve">Algae biomass preparation</w:t>
      </w:r>
    </w:p>
    <w:p>
      <w:pPr>
        <w:pStyle w:val="FirstParagraph"/>
      </w:pPr>
      <w:r>
        <w:t xml:space="preserve">Biomass should be produced and handled in ways that support both (i) bench screening with dried or otherwise stabilized biosorbent and (ii) eventual transition to immobilized/biofilm formats suitable for columns, since suspended microbial biomass can create pressure drops and channeling in packed beds.</w:t>
      </w:r>
    </w:p>
    <w:p>
      <w:pPr>
        <w:pStyle w:val="BodyText"/>
      </w:pPr>
      <w:r>
        <w:t xml:space="preserve">If the Algamol concept uses acid-tolerant extremophile algae, one demonstrated approach is to grow Galdieria sulphuraria to OD 4, concentrate by centrifugation, and resuspend to OD 10 for sorption testing against multi-metal solutions.</w:t>
      </w:r>
    </w:p>
    <w:p>
      <w:pPr>
        <w:pStyle w:val="BodyText"/>
      </w:pPr>
      <w:r>
        <w:t xml:space="preserve">Because multiple sources report that inactive (dead) biomass can be effective and often has faster kinetics than living biomass, bench tests should include at least one “inactive biomass” condition (e.g., freeze-dried) to quantify achievable capacities without growth-dependent confounders.</w:t>
      </w:r>
    </w:p>
    <w:bookmarkEnd w:id="26"/>
    <w:bookmarkStart w:id="27" w:name="pre-treatment-module"/>
    <w:p>
      <w:pPr>
        <w:pStyle w:val="Heading2"/>
      </w:pPr>
      <w:r>
        <w:t xml:space="preserve">Pre-treatment module</w:t>
      </w:r>
    </w:p>
    <w:p>
      <w:pPr>
        <w:pStyle w:val="FirstParagraph"/>
      </w:pPr>
      <w:r>
        <w:t xml:space="preserve">Real machining coolants can contain oils and stable emulsions, so the protocol should include a pre-treatment step to remove oil/emulsion before biosorption (especially before column tests) using an ultrafiltration module as a front-end unit operation.</w:t>
      </w:r>
    </w:p>
    <w:p>
      <w:pPr>
        <w:pStyle w:val="BodyText"/>
      </w:pPr>
      <w:r>
        <w:t xml:space="preserve">If pre-treatment is used, evaluate biosorption on both (i) raw coolant aqueous phase after coarse settling/filtration and (ii) UF-treated permeate to quantify how emulsion removal changes apparent uptake and analytical stability.</w:t>
      </w:r>
    </w:p>
    <w:bookmarkEnd w:id="27"/>
    <w:bookmarkStart w:id="32" w:name="batch-sorption-tests"/>
    <w:p>
      <w:pPr>
        <w:pStyle w:val="Heading2"/>
      </w:pPr>
      <w:r>
        <w:t xml:space="preserve">Batch sorption tests</w:t>
      </w:r>
    </w:p>
    <w:p>
      <w:pPr>
        <w:pStyle w:val="FirstParagraph"/>
      </w:pPr>
      <w:r>
        <w:t xml:space="preserve">Batch testing should be conducted in triplicate and include blanks and controls, because triplicate batch formats are explicitly used in multiple biosorption studies and are required by this protocol’s design criteria.</w:t>
      </w:r>
    </w:p>
    <w:bookmarkStart w:id="28" w:name="batch-setup"/>
    <w:p>
      <w:pPr>
        <w:pStyle w:val="Heading3"/>
      </w:pPr>
      <w:r>
        <w:t xml:space="preserve">Batch setup</w:t>
      </w:r>
    </w:p>
    <w:p>
      <w:pPr>
        <w:pStyle w:val="FirstParagraph"/>
      </w:pPr>
      <w:r>
        <w:t xml:space="preserve">A representative REE batch format is to contact dried biosorbent dosages in the 0.5–3 g/L range with fixed-volume solutions under agitation and temperature control; one detailed example used 0.2 L solution, 90 min contact, 300 rpm agitation, and temperatures of 21, 35, and 50 °C with pH screening between 3 and 5.</w:t>
      </w:r>
    </w:p>
    <w:p>
      <w:pPr>
        <w:pStyle w:val="BodyText"/>
      </w:pPr>
      <w:r>
        <w:t xml:space="preserve">A representative smaller-volume batch format (suitable for high-throughput screening) incubates 10–20 mg dry biomass in 2 mL metal solutions for ~3 h under constant shaking at room temperature, with centrifugation prior to analysis.</w:t>
      </w:r>
    </w:p>
    <w:bookmarkEnd w:id="28"/>
    <w:bookmarkStart w:id="29" w:name="ph-effects"/>
    <w:p>
      <w:pPr>
        <w:pStyle w:val="Heading3"/>
      </w:pPr>
      <w:r>
        <w:t xml:space="preserve">pH effects</w:t>
      </w:r>
    </w:p>
    <w:p>
      <w:pPr>
        <w:pStyle w:val="FirstParagraph"/>
      </w:pPr>
      <w:r>
        <w:t xml:space="preserve">pH should be treated as a primary control variable because uptake is strongly pH-dependent across biosorption systems, and higher uptake of cationic metals is often observed as pH increases into the ~4–6 range (until precipitation becomes significant).</w:t>
      </w:r>
    </w:p>
    <w:p>
      <w:pPr>
        <w:pStyle w:val="BodyText"/>
      </w:pPr>
      <w:r>
        <w:t xml:space="preserve">For Nd(III) on Chlorella vulgaris using magnet-derived leachate, one study found an optimum pH of 5 at 21–35 °C, while at 50 °C the optimum pH shifted to ~4 due to Nd precipitation risk at higher pH combined with higher temperature.</w:t>
      </w:r>
    </w:p>
    <w:p>
      <w:pPr>
        <w:pStyle w:val="BodyText"/>
      </w:pPr>
      <w:r>
        <w:t xml:space="preserve">Independent work on REE biosorption also identified an optimum equilibrium pH of ~4.9 ± 0.2 for favorable REE uptake on algal biomass, reinforcing the need to resolve performance around pH ~5.</w:t>
      </w:r>
    </w:p>
    <w:bookmarkEnd w:id="29"/>
    <w:bookmarkStart w:id="30" w:name="kinetics-and-equilibrium"/>
    <w:p>
      <w:pPr>
        <w:pStyle w:val="Heading3"/>
      </w:pPr>
      <w:r>
        <w:t xml:space="preserve">Kinetics and equilibrium</w:t>
      </w:r>
    </w:p>
    <w:p>
      <w:pPr>
        <w:pStyle w:val="FirstParagraph"/>
      </w:pPr>
      <w:r>
        <w:t xml:space="preserve">Kinetic tests should capture early-time uptake because many systems exhibit rapid initial adsorption (often within the first 20–60 minutes) followed by a slower approach to equilibrium, and equilibrium for cationic metals is commonly reached within 2–6 h in biosorption studies.</w:t>
      </w:r>
    </w:p>
    <w:p>
      <w:pPr>
        <w:pStyle w:val="BodyText"/>
      </w:pPr>
      <w:r>
        <w:t xml:space="preserve">For Nd(III) biosorption on C. vulgaris, equilibrium was reported to be reached within 30 minutes across tested temperatures, and the kinetic data fit a pseudo-second-order model with R2 &gt; 0.99.</w:t>
      </w:r>
    </w:p>
    <w:p>
      <w:pPr>
        <w:pStyle w:val="BodyText"/>
      </w:pPr>
      <w:r>
        <w:t xml:space="preserve">For some microbial/algal systems, much faster equilibration is also plausible; for example, Ce(III) adsorption to tested cyanobacterial biomasses reached equilibrium within ~5 minutes under the reported conditions.</w:t>
      </w:r>
    </w:p>
    <w:bookmarkEnd w:id="30"/>
    <w:bookmarkStart w:id="31" w:name="equilibrium-and-isotherm-modeling"/>
    <w:p>
      <w:pPr>
        <w:pStyle w:val="Heading3"/>
      </w:pPr>
      <w:r>
        <w:t xml:space="preserve">Equilibrium and isotherm modeling</w:t>
      </w:r>
    </w:p>
    <w:p>
      <w:pPr>
        <w:pStyle w:val="FirstParagraph"/>
      </w:pPr>
      <w:r>
        <w:t xml:space="preserve">Equilibrium isotherms should be fit using standard models such as Langmuir and Freundlich, which are commonly applied across biosorption studies and explicitly used in REE biosorption work.</w:t>
      </w:r>
    </w:p>
    <w:p>
      <w:pPr>
        <w:pStyle w:val="BodyText"/>
      </w:pPr>
      <w:r>
        <w:t xml:space="preserve">For Nd(III) on C. vulgaris, a Langmuir fit with R2 = 0.98 and qmax = 188.68 mg/g (KL = 0.029 L/mg) was reported at 35 °C and pH 5, providing a benchmark for what “high-performing” REE uptake can look like in a controlled system.</w:t>
      </w:r>
    </w:p>
    <w:p>
      <w:pPr>
        <w:pStyle w:val="BodyText"/>
      </w:pPr>
      <w:r>
        <w:t xml:space="preserve">For REE mixtures (La, Ce, Eu, Yb), maximum biosorption uptakes from a Langmuir model were reported as 154.7 mg/g (La), 152.8 mg/g (Ce), 138.2 mg/g (Eu), and 121.2 mg/g (Yb), which can be used as additional benchmarking targets for capacity in REE systems.</w:t>
      </w:r>
    </w:p>
    <w:bookmarkEnd w:id="31"/>
    <w:bookmarkEnd w:id="32"/>
    <w:bookmarkStart w:id="33" w:name="real-coolant-testing"/>
    <w:p>
      <w:pPr>
        <w:pStyle w:val="Heading2"/>
      </w:pPr>
      <w:r>
        <w:t xml:space="preserve">Real coolant testing</w:t>
      </w:r>
    </w:p>
    <w:p>
      <w:pPr>
        <w:pStyle w:val="FirstParagraph"/>
      </w:pPr>
      <w:r>
        <w:t xml:space="preserve">Real coolant tests are required because the literature emphasizes that many studies focus on idealized synthetic solutions, and semi-realistic matrices can exhibit reduced sorption efficiency due to competing ions and matrix effects.</w:t>
      </w:r>
    </w:p>
    <w:p>
      <w:pPr>
        <w:pStyle w:val="BodyText"/>
      </w:pPr>
      <w:r>
        <w:t xml:space="preserve">Real coolant samples should be pre-characterized for major water-quality parameters and matrix load because high total dissolved solids and suspended solids influence analytical method choice and can require dilution or pre-treatment prior to ICP-MS measurement.</w:t>
      </w:r>
    </w:p>
    <w:p>
      <w:pPr>
        <w:pStyle w:val="BodyText"/>
      </w:pPr>
      <w:r>
        <w:t xml:space="preserve">For real-matrix REE testing, one demonstrator approach used a complex multi-element mixture intended to mimic industrial effluents, illustrating the value of including multiple competing metals when validating performance outside idealized solutions.</w:t>
      </w:r>
    </w:p>
    <w:bookmarkEnd w:id="33"/>
    <w:bookmarkStart w:id="34" w:name="desorption-and-regeneration"/>
    <w:p>
      <w:pPr>
        <w:pStyle w:val="Heading2"/>
      </w:pPr>
      <w:r>
        <w:t xml:space="preserve">Desorption and regeneration</w:t>
      </w:r>
    </w:p>
    <w:p>
      <w:pPr>
        <w:pStyle w:val="FirstParagraph"/>
      </w:pPr>
      <w:r>
        <w:t xml:space="preserve">Regeneration should be tested by stripping metals from loaded biomass using acid solutions and evaluating performance over multiple adsorption–desorption cycles, because regeneration is necessary for reuse and enables production of a metal-bearing eluate for downstream recovery.</w:t>
      </w:r>
    </w:p>
    <w:p>
      <w:pPr>
        <w:pStyle w:val="BodyText"/>
      </w:pPr>
      <w:r>
        <w:t xml:space="preserve">This protocol’s required regeneration screen is acid stripping over 0.01–1.0 M HCl or HNO3 with a minimum of five cycles, with regeneration efficiency targeted at &gt;80%.</w:t>
      </w:r>
    </w:p>
    <w:p>
      <w:pPr>
        <w:pStyle w:val="BodyText"/>
      </w:pPr>
      <w:r>
        <w:t xml:space="preserve">Where rapid desorption kinetics are desired, one reported approach achieved desorption equilibrium in approximately 15–20 minutes using either 0.03 M HCl (pH 1.5) or 0.1 M Na2EDTA (pH 5), enabling relatively short elution steps in cyclic operation.</w:t>
      </w:r>
    </w:p>
    <w:p>
      <w:pPr>
        <w:pStyle w:val="BodyText"/>
      </w:pPr>
      <w:r>
        <w:t xml:space="preserve">Where an HNO3-based stripping approach is preferred, another reported desorption procedure treated 0.5 g of loaded biosorbent with 10 mL of 10−1 mol/L HNO3 for 60 minutes at 150 rpm and tested five biosorption/desorption cycles.</w:t>
      </w:r>
    </w:p>
    <w:bookmarkEnd w:id="34"/>
    <w:bookmarkStart w:id="38" w:name="analytical-methods"/>
    <w:p>
      <w:pPr>
        <w:pStyle w:val="Heading2"/>
      </w:pPr>
      <w:r>
        <w:t xml:space="preserve">Analytical methods</w:t>
      </w:r>
    </w:p>
    <w:p>
      <w:pPr>
        <w:pStyle w:val="FirstParagraph"/>
      </w:pPr>
      <w:r>
        <w:t xml:space="preserve">Analytical method selection should be driven by matrix strength (TDS/suspended solids) and required detection limits, because ICP-MS generally provides much lower detection limits than ICP-OES but has lower tolerance for high-TDS matrices, often requiring dilution or matrix separation.</w:t>
      </w:r>
    </w:p>
    <w:bookmarkStart w:id="35" w:name="sample-collection-and-preservation"/>
    <w:p>
      <w:pPr>
        <w:pStyle w:val="Heading3"/>
      </w:pPr>
      <w:r>
        <w:t xml:space="preserve">Sample collection and preservation</w:t>
      </w:r>
    </w:p>
    <w:p>
      <w:pPr>
        <w:pStyle w:val="FirstParagraph"/>
      </w:pPr>
      <w:r>
        <w:t xml:space="preserve">For dissolved analyte measurements, aqueous samples should be filtered through a 0.45 µm membrane and acidified immediately following filtration to pH &lt; 2 using nitric acid, consistent with EPA dissolved-metals methods.</w:t>
      </w:r>
    </w:p>
    <w:p>
      <w:pPr>
        <w:pStyle w:val="BodyText"/>
      </w:pPr>
      <w:r>
        <w:t xml:space="preserve">For ICP-MS workflows, acid-preservation after collection is also standard practice; one application note specifies acidifying all water samples with 2% v/v HNO3 after collection and filtering through 0.45 µm membranes to remove particles.</w:t>
      </w:r>
    </w:p>
    <w:bookmarkEnd w:id="35"/>
    <w:bookmarkStart w:id="36" w:name="metals-quantification"/>
    <w:p>
      <w:pPr>
        <w:pStyle w:val="Heading3"/>
      </w:pPr>
      <w:r>
        <w:t xml:space="preserve">Metals quantification</w:t>
      </w:r>
    </w:p>
    <w:p>
      <w:pPr>
        <w:pStyle w:val="FirstParagraph"/>
      </w:pPr>
      <w:r>
        <w:t xml:space="preserve">ICP-OES is appropriate for mg/L-level quantification of metals in aqueous samples after suitable filtration and acid preservation, and EPA Method 200.7 provides method detection limits including Co aqueous MDL of 0.002 mg/L for total recoverable analysis.</w:t>
      </w:r>
    </w:p>
    <w:p>
      <w:pPr>
        <w:pStyle w:val="BodyText"/>
      </w:pPr>
      <w:r>
        <w:t xml:space="preserve">ICP-MS is appropriate when sub-µg/L detection is required; EPA Method 200.8 specifies filtration/acidification steps and reports instrument detection limit information for cobalt in its tables (with Co-59 entries).</w:t>
      </w:r>
    </w:p>
    <w:p>
      <w:pPr>
        <w:pStyle w:val="BodyText"/>
      </w:pPr>
      <w:r>
        <w:t xml:space="preserve">For very low-level REE detection (e.g., to confirm residuals after high removal), triple-quadrupole ICP-MS methods report sub-ng/L instrumental detection limits; one example reports an Nd instrumental detection limit of 0.0006 µg/L on an iCAP TQe ICP-MS system.</w:t>
      </w:r>
    </w:p>
    <w:bookmarkEnd w:id="36"/>
    <w:bookmarkStart w:id="37" w:name="calibration-and-qc"/>
    <w:p>
      <w:pPr>
        <w:pStyle w:val="Heading3"/>
      </w:pPr>
      <w:r>
        <w:t xml:space="preserve">Calibration and QC</w:t>
      </w:r>
    </w:p>
    <w:p>
      <w:pPr>
        <w:pStyle w:val="FirstParagraph"/>
      </w:pPr>
      <w:r>
        <w:t xml:space="preserve">QC should include spike-recovery tests and internal standards because matrix effects can bias trace REE results; one method added 0.05 µg/L spikes and reported average recoveries between 90% and 112% across samples.</w:t>
      </w:r>
    </w:p>
    <w:p>
      <w:pPr>
        <w:pStyle w:val="BodyText"/>
      </w:pPr>
      <w:r>
        <w:t xml:space="preserve">For ICP-MS sample preparation in an acid matrix, one EPA 200.8 application describes preparing calibration standards, internal standards, and samples in 1% HNO3 (with Au(III) chloride included in that method matrix).</w:t>
      </w:r>
    </w:p>
    <w:bookmarkEnd w:id="37"/>
    <w:bookmarkEnd w:id="38"/>
    <w:bookmarkStart w:id="39" w:name="data-analysis"/>
    <w:p>
      <w:pPr>
        <w:pStyle w:val="Heading2"/>
      </w:pPr>
      <w:r>
        <w:t xml:space="preserve">Data analysis</w:t>
      </w:r>
    </w:p>
    <w:p>
      <w:pPr>
        <w:pStyle w:val="FirstParagraph"/>
      </w:pPr>
      <w:r>
        <w:t xml:space="preserve">Removal efficiency should be calculated from initial and final concentrations, and uptake capacity should be calculated on a mass-balance basis as q (mg metal per g dry biomass), consistent with standard biosorption reporting and commonly provided formulas in adsorption studies.</w:t>
      </w:r>
    </w:p>
    <w:p>
      <w:pPr>
        <w:pStyle w:val="BodyText"/>
      </w:pPr>
      <w:r>
        <w:t xml:space="preserve">Kinetic curves should be fit to pseudo-first-order and pseudo-second-order models because these are widely used in biosorption studies, including those explicitly reporting pseudo-second-order behavior for REE uptake.</w:t>
      </w:r>
    </w:p>
    <w:p>
      <w:pPr>
        <w:pStyle w:val="BodyText"/>
      </w:pPr>
      <w:r>
        <w:t xml:space="preserve">Equilibrium data should be fit to Langmuir and Freundlich isotherms to report qmax and affinity constants, consistent with common practice in biosorption modeling and with explicit examples in REE systems.</w:t>
      </w:r>
    </w:p>
    <w:bookmarkEnd w:id="39"/>
    <w:bookmarkStart w:id="40" w:name="success-criteria"/>
    <w:p>
      <w:pPr>
        <w:pStyle w:val="Heading2"/>
      </w:pPr>
      <w:r>
        <w:t xml:space="preserve">Success criteria</w:t>
      </w:r>
    </w:p>
    <w:p>
      <w:pPr>
        <w:pStyle w:val="FirstParagraph"/>
      </w:pPr>
      <w:r>
        <w:t xml:space="preserve">Success should be defined using explicit performance thresholds that include metal removal, loading capacity, and regeneration efficiency, and the protocol specifies target criteria of &gt;90% REE removal, &gt;85% Co removal, &gt;50 mg/g loading capacity, and &gt;80% regeneration while meeting discharge constraints such as POTW limits.</w:t>
      </w:r>
    </w:p>
    <w:p>
      <w:pPr>
        <w:pStyle w:val="BodyText"/>
      </w:pPr>
      <w:r>
        <w:t xml:space="preserve">Where selectivity is relevant (e.g., separating REEs from non-REE metals), report selectivity factors or separation factors; one biosorption-based separation report observed separation factors of at least 30 for Nd relative to nearly all non-REE metals after a single adsorption/desorption cycle, showing that quantitative selectivity metrics are feasible and informative.</w:t>
      </w:r>
    </w:p>
    <w:bookmarkEnd w:id="40"/>
    <w:bookmarkStart w:id="41" w:name="safety"/>
    <w:p>
      <w:pPr>
        <w:pStyle w:val="Heading2"/>
      </w:pPr>
      <w:r>
        <w:t xml:space="preserve">Safety</w:t>
      </w:r>
    </w:p>
    <w:p>
      <w:pPr>
        <w:pStyle w:val="FirstParagraph"/>
      </w:pPr>
      <w:r>
        <w:t xml:space="preserve">Acid handling is integral to this protocol (sample preservation and regeneration), so laboratory safety controls must include appropriate acid-resistant PPE, secondary containment, and procedures for nitric acid use in preservation and in digestion/stripping methods described in analytical protocols.</w:t>
      </w:r>
    </w:p>
    <w:p>
      <w:pPr>
        <w:pStyle w:val="BodyText"/>
      </w:pPr>
      <w:r>
        <w:t xml:space="preserve">Because some analytical workflows and sample digestions use strong acids (including concentrated nitric acid for digestion of solids in some protocols), all digestion steps should be executed under appropriate fume extraction and according to the specific method’s safety guidance.</w:t>
      </w:r>
    </w:p>
    <w:bookmarkEnd w:id="41"/>
    <w:bookmarkStart w:id="42" w:name="timeline-and-budget"/>
    <w:p>
      <w:pPr>
        <w:pStyle w:val="Heading2"/>
      </w:pPr>
      <w:r>
        <w:t xml:space="preserve">Timeline and budget</w:t>
      </w:r>
    </w:p>
    <w:p>
      <w:pPr>
        <w:pStyle w:val="FirstParagraph"/>
      </w:pPr>
      <w:r>
        <w:t xml:space="preserve">The achievable project cadence is driven primarily by the number of experimental conditions, replicate requirements, and analytical throughput, and modern ICP-MS workflows can reduce total analysis time to under 3 minutes per sample for multi-element panels in some configurations.</w:t>
      </w:r>
    </w:p>
    <w:p>
      <w:pPr>
        <w:pStyle w:val="BodyText"/>
      </w:pPr>
      <w:r>
        <w:t xml:space="preserve">For high-throughput screening, ICP-OES and ICP-MS platforms are reported to support very high daily sample volumes (up to ~2500 samples/day for ICP-OES and up to ~1200 samples/day for ICP-MS in one vendor comparison), which can be used to plan sample batching and laboratory capacity needs for the three-phase program.</w:t>
      </w:r>
    </w:p>
    <w:p>
      <w:pPr>
        <w:pStyle w:val="BodyText"/>
      </w:pPr>
      <w:r>
        <w:t xml:space="preserve">Budget should be built bottom-up from the number of samples (conditions × timepoints × replicates) and the chosen analytical method(s), because ICP-MS often requires dilution and careful matrix management for high-TDS coolants, while ICP-OES is more robust for high-TDS and suspended-solids matrices.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2026-02-12T17:54:12Z</dcterms:created>
  <dcterms:modified xsi:type="dcterms:W3CDTF">2026-02-12T17:54:12Z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