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1aa65b577a4bc252bbd3c2889c10a761e330d8"/>
    <w:p>
      <w:pPr>
        <w:pStyle w:val="Heading1"/>
      </w:pPr>
      <w:r>
        <w:t xml:space="preserve">Combined US-Israeli Interceptor Magnet Demand Under Surge Production Scenarios</w:t>
      </w:r>
    </w:p>
    <w:bookmarkStart w:id="20" w:name="executive-summary"/>
    <w:p>
      <w:pPr>
        <w:pStyle w:val="Heading2"/>
      </w:pPr>
      <w:r>
        <w:t xml:space="preserve">Executive Summary</w:t>
      </w:r>
    </w:p>
    <w:p>
      <w:pPr>
        <w:pStyle w:val="FirstParagraph"/>
      </w:pPr>
      <w:r>
        <w:t xml:space="preserve">Post–October 2023 operational demand and subsequent procurement actions have driven expansion of Iron Dome Tamir interceptor production in both Israel and the United States, with a new U.S. “all-up-round” Tamir/SkyHunter facility in East Camden/Camden, Arkansas established explicitly to accelerate serial output and serve both Israeli Iron Dome and the U.S. Marine Corps’ MRIC program. Multiple sources tie this expansion to a U.S. aid package approved in April 2024 totaling $8.7B and including $5.2B dedicated to air and missile defense (Iron Dome, David’s Sling, and laser defense). The practical implication for permanent magnets is that surge missile output increases demand for high-temperature and high-reliability permanent magnets used in guidance and control actuators, and that these magnets are subject to tightened sourcing rules effective January 1, 2027 under DFARS-related restrictions and provenance expectations.</w:t>
      </w:r>
    </w:p>
    <w:p>
      <w:pPr>
        <w:pStyle w:val="BodyText"/>
      </w:pPr>
      <w:r>
        <w:t xml:space="preserve">The binding constraint is likely not magnet design knowledge (which is well understood in broad terms) but supply-chain capacity and compliance for high-temperature SmCo magnets, because U.S. industrial statements and government reporting emphasize dependence on foreign rare-earth processing and limited domestic specialty magnet production, with samarium supply and SmCo market share heavily concentrated in China and only a very small U.S. producer base for SmCo magnets. In contrast, NdFeB magnets are also strategically constrained but have more pathways for domestic capacity expansion (e.g., Mine-to-Magnet investments) and recycling-related compliance strategies than SmCo, as reflected by DoD investment programs and the attention to NdFeB processing-chain completeness in China.</w:t>
      </w:r>
    </w:p>
    <w:bookmarkEnd w:id="20"/>
    <w:bookmarkStart w:id="21" w:name="baseline-production"/>
    <w:p>
      <w:pPr>
        <w:pStyle w:val="Heading2"/>
      </w:pPr>
      <w:r>
        <w:t xml:space="preserve">Baseline Production</w:t>
      </w:r>
    </w:p>
    <w:p>
      <w:pPr>
        <w:pStyle w:val="FirstParagraph"/>
      </w:pPr>
      <w:r>
        <w:t xml:space="preserve">Public sources used in this dataset provide only limited, sometimes secondary estimates for pre-surge annual Tamir production, with one internal “input document” estimate citing approximately 1,000–2,000 Tamirs per year pre–October 2023. Several public sources instead anchor baseline demand through stockpile and procurement indicators (e.g., U.S. Army acquisition of 480 missiles in the 2019–2021 timeframe, and U.S. Marine Corps plans to acquire 1,840 Tamir/SkyHunter missiles for MRIC). These indicators establish that U.S. demand existed prior to the current surge and that Israel–U.S. co-production channels were already in place before the Arkansas plant opened, including U.S. manufacture of a majority share of components in some periods.</w:t>
      </w:r>
    </w:p>
    <w:p>
      <w:pPr>
        <w:pStyle w:val="BodyText"/>
      </w:pPr>
      <w:r>
        <w:t xml:space="preserve">Baseline unit-cost anchors (useful for inferring procurement volumes when totals are known) put Tamir interceptor costs in the $40,000–$50,000 range in multiple references, though broader ranges also appear depending on accounting conventions and urgency premiums.</w:t>
      </w:r>
    </w:p>
    <w:bookmarkEnd w:id="21"/>
    <w:bookmarkStart w:id="22" w:name="surge-scenarios"/>
    <w:p>
      <w:pPr>
        <w:pStyle w:val="Heading2"/>
      </w:pPr>
      <w:r>
        <w:t xml:space="preserve">Surge Scenarios</w:t>
      </w:r>
    </w:p>
    <w:p>
      <w:pPr>
        <w:pStyle w:val="FirstParagraph"/>
      </w:pPr>
      <w:r>
        <w:t xml:space="preserve">The surge scenarios in open reporting are most defensible when framed as (i) a production-capacity step change (new U.S. all-up-round plant plus accelerated Israeli serial lines) and (ii) a range of annual output targets and procurement quantities inferred from budgets and public contract statements, because many official announcements do not disclose annual unit production numbers. One estimate in the dataset explicitly frames post–October 2023 surge demand as “8,000–12,000+ interceptors per year” for Israel, reflecting the intensity and duration of high-tempo engagements and stockpile replenishment pressures. A separate internal estimate in the dataset states Tamir production could “surge to potentially 10,000+/year” post–October 2023, reinforcing the possibility of five-to-tenfold increases over a ~1,000–2,000/year baseline estimate.</w:t>
      </w:r>
    </w:p>
    <w:p>
      <w:pPr>
        <w:pStyle w:val="BodyText"/>
      </w:pPr>
      <w:r>
        <w:t xml:space="preserve">For U.S. demand, MRIC procurement provides a bounded near-term (FY25) quantity signal, with a Marine Corps FY-25 budget request that includes $111M to support purchase of 12 launchers and 242 missiles, and a separate contract action covering 80 missiles in 16 all-up-round magazines with delivery scheduled for April 2027 (work in Tucson, AZ). Separately, Israeli–U.S. industrial reporting cites a U.S. Marine Corps order for 2,000 SkyHunter missiles as the intended load for the U.S. production line, indicating an upper-bound programmatic target even where annual profiles are not disclosed.</w:t>
      </w:r>
    </w:p>
    <w:p>
      <w:pPr>
        <w:pStyle w:val="BodyText"/>
      </w:pPr>
      <w:r>
        <w:t xml:space="preserve">Given these constraints, this report defines three surge scenarios as planning constructs rather than confirmed production commitments:</w:t>
      </w:r>
    </w:p>
    <w:p>
      <w:pPr>
        <w:pStyle w:val="Compact"/>
        <w:numPr>
          <w:ilvl w:val="0"/>
          <w:numId w:val="1001"/>
        </w:numPr>
      </w:pPr>
      <w:r>
        <w:t xml:space="preserve">Scenario A (Moderate Surge): Israel replenishment plus early U.S. MRIC fielding, bounded by FY25 MRIC quantities and the ramp-up implied by “accelerating serial output.”</w:t>
      </w:r>
    </w:p>
    <w:p>
      <w:pPr>
        <w:pStyle w:val="Compact"/>
        <w:numPr>
          <w:ilvl w:val="0"/>
          <w:numId w:val="1001"/>
        </w:numPr>
      </w:pPr>
      <w:r>
        <w:t xml:space="preserve">Scenario B (High Surge): Israel demand toward the 8,000–12,000+/year range plus continued U.S. MRIC procurement growth during 2024–2026 ramp period.</w:t>
      </w:r>
    </w:p>
    <w:p>
      <w:pPr>
        <w:pStyle w:val="Compact"/>
        <w:numPr>
          <w:ilvl w:val="0"/>
          <w:numId w:val="1001"/>
        </w:numPr>
      </w:pPr>
      <w:r>
        <w:t xml:space="preserve">Scenario C (Maximum Surge plus U.S. adoption): High Israeli demand plus U.S. MRIC full fielding across three battalions during 2026–2028, using published fielding windows and contract growth to approximate sustained demand.</w:t>
      </w:r>
    </w:p>
    <w:bookmarkEnd w:id="22"/>
    <w:bookmarkStart w:id="23" w:name="procurement-signals"/>
    <w:p>
      <w:pPr>
        <w:pStyle w:val="Heading2"/>
      </w:pPr>
      <w:r>
        <w:t xml:space="preserve">Procurement Signals</w:t>
      </w:r>
    </w:p>
    <w:p>
      <w:pPr>
        <w:pStyle w:val="FirstParagraph"/>
      </w:pPr>
      <w:r>
        <w:t xml:space="preserve">Multiple U.S. and Israeli public statements connect accelerated interceptor production to large funding packages and contracts, even when unit quantities are not disclosed. U.S. Congress-approved April 2024 aid is repeatedly cited as $8.7B total, with $5.2B earmarked for air and missile defense programs including Iron Dome and David’s Sling, establishing a multi-program funding pool that can drive magnet demand across multiple interceptor families beyond Tamir alone. On the industrial side, the Raytheon–Rafael joint venture (R2S) received a $1.25B contract to supply Tamir interceptors to Israel, and the contract disclosure coincided with inauguration/opening of the U.S. Tamir production facility. Several sources also record a $33M capital investment for the new U.S. facility, while one state economic development release describes the project as an approximately $63M investment, implying possible scope growth or additional related investments beyond the originally cited figure.</w:t>
      </w:r>
    </w:p>
    <w:p>
      <w:pPr>
        <w:pStyle w:val="BodyText"/>
      </w:pPr>
      <w:r>
        <w:t xml:space="preserve">MRIC-specific procurement signals include contract values reaching $412.5M in total (including a potential $380M order), which indicates an expanding U.S. demand curve for Tamir-derived interceptors even if annual unit numbers beyond FY25 are not stated in those sources.</w:t>
      </w:r>
    </w:p>
    <w:bookmarkEnd w:id="23"/>
    <w:bookmarkStart w:id="24" w:name="magnet-intensive-subsystems"/>
    <w:p>
      <w:pPr>
        <w:pStyle w:val="Heading2"/>
      </w:pPr>
      <w:r>
        <w:t xml:space="preserve">Magnet-Intensive Subsystems</w:t>
      </w:r>
    </w:p>
    <w:p>
      <w:pPr>
        <w:pStyle w:val="FirstParagraph"/>
      </w:pPr>
      <w:r>
        <w:t xml:space="preserve">Open sources in this dataset generally do not disclose per-interceptor permanent magnet mass, magnet grade, or exact magnet counts, and at least one technical source explicitly notes it does not address “the weight of permanent magnets or the quantity of actuator motors in guided munitions.” Nonetheless, multiple sources support the qualitative mapping that guided interceptors use permanent magnets in actuator motors and fin actuation, and that missile subsystems can use SmCo magnets (often chosen for thermal stability and resistance to demagnetization) as well as NdFeB magnets (common in fin actuators).</w:t>
      </w:r>
    </w:p>
    <w:p>
      <w:pPr>
        <w:pStyle w:val="BodyText"/>
      </w:pPr>
      <w:r>
        <w:t xml:space="preserve">Within the dataset, one internal synthesis asserts that Tamir includes permanent-magnet-containing components in the guidance section (seeker head motor and gimbal actuators) and control section (fin actuators), with a possibility of additional motor-related magnets closer to propulsion-related structures. A separate internal table-level statement ties SmCo magnets to missile propulsion-system magnets and control-actuator magnets, supporting the inference that at least some interceptor subsystems in the relevant performance envelope may require SmCo rather than standard NdFeB grades.</w:t>
      </w:r>
    </w:p>
    <w:bookmarkEnd w:id="24"/>
    <w:bookmarkStart w:id="25" w:name="parametric-magnet-demand-model"/>
    <w:p>
      <w:pPr>
        <w:pStyle w:val="Heading2"/>
      </w:pPr>
      <w:r>
        <w:t xml:space="preserve">Parametric Magnet Demand Model</w:t>
      </w:r>
    </w:p>
    <w:p>
      <w:pPr>
        <w:pStyle w:val="FirstParagraph"/>
      </w:pPr>
      <w:r>
        <w:t xml:space="preserve">Because the dataset lacks publicly supported values for magnet mass per interceptor or magnet mass per actuator, this report models magnet demand parametrically and ties the model to confirmed interceptor quantities and credible surge ranges. Let:</w:t>
      </w:r>
    </w:p>
    <w:p>
      <w:pPr>
        <w:pStyle w:val="Compact"/>
        <w:numPr>
          <w:ilvl w:val="0"/>
          <w:numId w:val="1002"/>
        </w:numPr>
      </w:pPr>
      <w:r>
        <w:t xml:space="preserve">(N_T) = annual Tamir-equivalent interceptor output (Israel + U.S. co-production).</w:t>
      </w:r>
    </w:p>
    <w:p>
      <w:pPr>
        <w:pStyle w:val="Compact"/>
        <w:numPr>
          <w:ilvl w:val="0"/>
          <w:numId w:val="1002"/>
        </w:numPr>
      </w:pPr>
      <w:r>
        <w:t xml:space="preserve">(m_{SmCo}) = average SmCo magnet mass per interceptor (kg/interceptor), covering seeker/gimbal and any high-temperature actuator use where SmCo is selected.</w:t>
      </w:r>
    </w:p>
    <w:p>
      <w:pPr>
        <w:pStyle w:val="Compact"/>
        <w:numPr>
          <w:ilvl w:val="0"/>
          <w:numId w:val="1002"/>
        </w:numPr>
      </w:pPr>
      <w:r>
        <w:t xml:space="preserve">(m_{NdFeB}) = average NdFeB magnet mass per interceptor (kg/interceptor), covering fin actuators and other permanent-magnet motor functions where NdFeB is used.</w:t>
      </w:r>
    </w:p>
    <w:p>
      <w:pPr>
        <w:pStyle w:val="FirstParagraph"/>
      </w:pPr>
      <w:r>
        <w:t xml:space="preserve">Then annual magnet demand in mass terms is:</w:t>
      </w:r>
    </w:p>
    <w:p>
      <w:pPr>
        <w:pStyle w:val="Compact"/>
        <w:numPr>
          <w:ilvl w:val="0"/>
          <w:numId w:val="1003"/>
        </w:numPr>
      </w:pPr>
      <w:r>
        <w:t xml:space="preserve">SmCo demand (kg/year) = (N_T \times m_{SmCo}).</w:t>
      </w:r>
    </w:p>
    <w:p>
      <w:pPr>
        <w:pStyle w:val="Compact"/>
        <w:numPr>
          <w:ilvl w:val="0"/>
          <w:numId w:val="1003"/>
        </w:numPr>
      </w:pPr>
      <w:r>
        <w:t xml:space="preserve">NdFeB demand (kg/year) = (N_T \times m_{NdFeB}).</w:t>
      </w:r>
    </w:p>
    <w:p>
      <w:pPr>
        <w:pStyle w:val="FirstParagraph"/>
      </w:pPr>
      <w:r>
        <w:t xml:space="preserve">The table below summarizes the interceptor quantity inputs available from sources and how they map into the three scenarios; it intentionally keeps magnet mass outputs symbolic due to absent public per-interceptor magnet mass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Israel Tamir demand anchor</w:t>
            </w:r>
          </w:p>
        </w:tc>
        <w:tc>
          <w:tcPr/>
          <w:p>
            <w:pPr>
              <w:pStyle w:val="Compact"/>
            </w:pPr>
            <w:r>
              <w:t xml:space="preserve">U.S. MRIC SkyHunter demand anchor</w:t>
            </w:r>
          </w:p>
        </w:tc>
        <w:tc>
          <w:tcPr/>
          <w:p>
            <w:pPr>
              <w:pStyle w:val="Compact"/>
            </w:pPr>
            <w:r>
              <w:t xml:space="preserve">Combined annual output basis</w:t>
            </w:r>
          </w:p>
        </w:tc>
        <w:tc>
          <w:tcPr/>
          <w:p>
            <w:pPr>
              <w:pStyle w:val="Compact"/>
            </w:pPr>
            <w:r>
              <w:t xml:space="preserve">Magnet mass output form</w:t>
            </w:r>
          </w:p>
        </w:tc>
      </w:tr>
      <w:tr>
        <w:tc>
          <w:tcPr/>
          <w:p>
            <w:pPr>
              <w:pStyle w:val="Compact"/>
            </w:pPr>
            <w:r>
              <w:t xml:space="preserve">A</w:t>
            </w:r>
          </w:p>
        </w:tc>
        <w:tc>
          <w:tcPr/>
          <w:p>
            <w:pPr>
              <w:pStyle w:val="Compact"/>
            </w:pPr>
            <w:r>
              <w:t xml:space="preserve">No official annual rate disclosed; constrained by stated intent to accelerate serial output and replenish stockpiles.</w:t>
            </w:r>
          </w:p>
        </w:tc>
        <w:tc>
          <w:tcPr/>
          <w:p>
            <w:pPr>
              <w:pStyle w:val="Compact"/>
            </w:pPr>
            <w:r>
              <w:t xml:space="preserve">FY25 request: 242 missiles (plus 12 launchers) and early fielding timeline.</w:t>
            </w:r>
          </w:p>
        </w:tc>
        <w:tc>
          <w:tcPr/>
          <w:p>
            <w:pPr>
              <w:pStyle w:val="Compact"/>
            </w:pPr>
            <w:r>
              <w:t xml:space="preserve">(N_T) treated as “Israel replenishment + 242 U.S. missiles” for minimum planning case.</w:t>
            </w:r>
          </w:p>
        </w:tc>
        <w:tc>
          <w:tcPr/>
          <w:p>
            <w:pPr>
              <w:pStyle w:val="Compact"/>
            </w:pPr>
            <w:r>
              <w:t xml:space="preserve">SmCo = (N_T m_{SmCo}); NdFeB = (N_T m_{NdFeB}).</w:t>
            </w:r>
          </w:p>
        </w:tc>
      </w:tr>
      <w:tr>
        <w:tc>
          <w:tcPr/>
          <w:p>
            <w:pPr>
              <w:pStyle w:val="Compact"/>
            </w:pPr>
            <w:r>
              <w:t xml:space="preserve">B</w:t>
            </w:r>
          </w:p>
        </w:tc>
        <w:tc>
          <w:tcPr/>
          <w:p>
            <w:pPr>
              <w:pStyle w:val="Compact"/>
            </w:pPr>
            <w:r>
              <w:t xml:space="preserve">Estimate of 8,000–12,000+ interceptors/year under surge conditions is explicitly stated in one source set.</w:t>
            </w:r>
          </w:p>
        </w:tc>
        <w:tc>
          <w:tcPr/>
          <w:p>
            <w:pPr>
              <w:pStyle w:val="Compact"/>
            </w:pPr>
            <w:r>
              <w:t xml:space="preserve">MRIC contract growth to $412.5M suggests expanding procurement beyond initial buys, but annual quantities not stated in those contract summaries.</w:t>
            </w:r>
          </w:p>
        </w:tc>
        <w:tc>
          <w:tcPr/>
          <w:p>
            <w:pPr>
              <w:pStyle w:val="Compact"/>
            </w:pPr>
            <w:r>
              <w:t xml:space="preserve">(N_T) approximated by Israel surge range plus incremental U.S. production capacity ramp during 2024–2026.</w:t>
            </w:r>
          </w:p>
        </w:tc>
        <w:tc>
          <w:tcPr/>
          <w:p>
            <w:pPr>
              <w:pStyle w:val="Compact"/>
            </w:pPr>
            <w:r>
              <w:t xml:space="preserve">SmCo = (N_T m_{SmCo}); NdFeB = (N_T m_{NdFeB}).</w:t>
            </w:r>
          </w:p>
        </w:tc>
      </w:tr>
      <w:tr>
        <w:tc>
          <w:tcPr/>
          <w:p>
            <w:pPr>
              <w:pStyle w:val="Compact"/>
            </w:pPr>
            <w:r>
              <w:t xml:space="preserve">C</w:t>
            </w:r>
          </w:p>
        </w:tc>
        <w:tc>
          <w:tcPr/>
          <w:p>
            <w:pPr>
              <w:pStyle w:val="Compact"/>
            </w:pPr>
            <w:r>
              <w:t xml:space="preserve">Israel surge range as in Scenario B (upper bound), recognizing that official quantities are often undisclosed.</w:t>
            </w:r>
          </w:p>
        </w:tc>
        <w:tc>
          <w:tcPr/>
          <w:p>
            <w:pPr>
              <w:pStyle w:val="Compact"/>
            </w:pPr>
            <w:r>
              <w:t xml:space="preserve">Full fielding across three battalions scheduled 2026–2028 and delivery window signals sustained procurement, with “full-rate production begins this year” in one MRIC description.</w:t>
            </w:r>
          </w:p>
        </w:tc>
        <w:tc>
          <w:tcPr/>
          <w:p>
            <w:pPr>
              <w:pStyle w:val="Compact"/>
            </w:pPr>
            <w:r>
              <w:t xml:space="preserve">(N_T) treated as Israel surge range plus sustained U.S. MRIC missile deliveries through 2026–2028.</w:t>
            </w:r>
          </w:p>
        </w:tc>
        <w:tc>
          <w:tcPr/>
          <w:p>
            <w:pPr>
              <w:pStyle w:val="Compact"/>
            </w:pPr>
            <w:r>
              <w:t xml:space="preserve">SmCo = (N_T m_{SmCo}); NdFeB = (N_T m_{NdFeB}).</w:t>
            </w:r>
          </w:p>
        </w:tc>
      </w:tr>
    </w:tbl>
    <w:bookmarkEnd w:id="25"/>
    <w:bookmarkStart w:id="26" w:name="smco-supply-chain-capacity"/>
    <w:p>
      <w:pPr>
        <w:pStyle w:val="Heading2"/>
      </w:pPr>
      <w:r>
        <w:t xml:space="preserve">SmCo Supply Chain Capacity</w:t>
      </w:r>
    </w:p>
    <w:p>
      <w:pPr>
        <w:pStyle w:val="FirstParagraph"/>
      </w:pPr>
      <w:r>
        <w:t xml:space="preserve">Multiple sources describe SmCo supply as unusually concentrated and therefore vulnerable under surge conditions, including a claim that China accounts for “more than 90 percent of the global samarium–cobalt magnet market.” A market estimate in the dataset puts global SmCo magnet production capacity at approximately 2,400 tonnes per year and indicates aerospace and defense account for over 30% of SmCo consumption, which implies that a defense surge can materially compete for a constrained global capacity pool even if defense is not the dominant end market in every segment. Separately, U.S. industrial statements emphasize that through EEC, Permag is “the only U.S. producer” of SmCo magnets, reinforcing the thinness of domestic SmCo capacity and the likely need for allied/foreign upstream sourcing even when final manufacturing is domestic.</w:t>
      </w:r>
    </w:p>
    <w:p>
      <w:pPr>
        <w:pStyle w:val="BodyText"/>
      </w:pPr>
      <w:r>
        <w:t xml:space="preserve">From a surge-production perspective, two additional supply-side constraints are salient in the dataset: (1) samarium supply dependence (with one source stating “Samarium supply: 95%+ from China”), and (2) cobalt supply concentration and disruption risk (with one internal summary stating DRC accounted for 76% of mined output in 2024 and referencing a February 2025 DRC export ban).</w:t>
      </w:r>
    </w:p>
    <w:bookmarkEnd w:id="26"/>
    <w:bookmarkStart w:id="27" w:name="ndfeb-supply-chain-considerations"/>
    <w:p>
      <w:pPr>
        <w:pStyle w:val="Heading2"/>
      </w:pPr>
      <w:r>
        <w:t xml:space="preserve">NdFeB Supply Chain Considerations</w:t>
      </w:r>
    </w:p>
    <w:p>
      <w:pPr>
        <w:pStyle w:val="FirstParagraph"/>
      </w:pPr>
      <w:r>
        <w:t xml:space="preserve">NdFeB magnets are described in government reporting as strategically important and “irreplaceable” in key defense applications including missile guidance and fin actuators, and the U.S. is shown as having imported 75% of sintered NdFeB magnet supply from China in 2021 in a congressional report. A GAO report also notes that China is the only country with processing capabilities for each stage of the NdFeB permanent magnet supply chain, which creates systemic risk when defense missile production surges. However, the dataset also documents significant U.S. industrial-policy investments aimed at expanding domestic rare-earth processing and magnet manufacturing, including DoD awards totaling more than $439M since 2020 and specific funding to MP Materials (with projected full-scale milestones through 2025), Lynas USA (oxide capability by 2026), Noveon Magnetics (San Marcos, TX magnet facility), and E‑VAC Magnetics (commercial-scale magnet capability by 2025).</w:t>
      </w:r>
    </w:p>
    <w:p>
      <w:pPr>
        <w:pStyle w:val="BodyText"/>
      </w:pPr>
      <w:r>
        <w:t xml:space="preserve">From a manufacturing yield perspective (relevant to effective supply), one U.S. government report states that “final magnet machining has a recovery rate of 60 to 90 percent” depending on magnet size and complexity, which implies significant swarf/sludge and scrap generation that can tighten effective supply during surge periods.</w:t>
      </w:r>
    </w:p>
    <w:bookmarkEnd w:id="27"/>
    <w:bookmarkStart w:id="28" w:name="bottlenecks"/>
    <w:p>
      <w:pPr>
        <w:pStyle w:val="Heading2"/>
      </w:pPr>
      <w:r>
        <w:t xml:space="preserve">Bottlenecks</w:t>
      </w:r>
    </w:p>
    <w:p>
      <w:pPr>
        <w:pStyle w:val="FirstParagraph"/>
      </w:pPr>
      <w:r>
        <w:t xml:space="preserve">Several sources directly connect defense missile production surges (2024–2025) to increased demand for rare-earth permanent magnets, and also emphasize that concentrated overseas supply chains for rare-earth magnets are a limiting factor for precision-guided munitions output under surge. Separately, one source identifies “specific bottlenecks like rocket motors” as constraints across missile lines, underscoring that magnets compete with other constrained subsystems for industrial attention and qualification bandwidth.</w:t>
      </w:r>
    </w:p>
    <w:p>
      <w:pPr>
        <w:pStyle w:val="BodyText"/>
      </w:pPr>
      <w:r>
        <w:t xml:space="preserve">For magnets specifically, the dataset supports five bottleneck categories that align with the user’s framing, though not all are quantified in the public record:</w:t>
      </w:r>
    </w:p>
    <w:p>
      <w:pPr>
        <w:pStyle w:val="Compact"/>
        <w:numPr>
          <w:ilvl w:val="0"/>
          <w:numId w:val="1004"/>
        </w:numPr>
      </w:pPr>
      <w:r>
        <w:t xml:space="preserve">Raw materials bottleneck: samarium supply dependence and cobalt supply concentration create risk for SmCo production under surge conditions.</w:t>
      </w:r>
    </w:p>
    <w:p>
      <w:pPr>
        <w:pStyle w:val="Compact"/>
        <w:numPr>
          <w:ilvl w:val="0"/>
          <w:numId w:val="1004"/>
        </w:numPr>
      </w:pPr>
      <w:r>
        <w:t xml:space="preserve">SmCo manufacturing bottleneck: a narrow supplier base and limited domestic production footprint for SmCo magnets raises the likelihood that SmCo becomes the binding constraint for high-temperature actuator and seeker assemblies.</w:t>
      </w:r>
    </w:p>
    <w:p>
      <w:pPr>
        <w:pStyle w:val="Compact"/>
        <w:numPr>
          <w:ilvl w:val="0"/>
          <w:numId w:val="1004"/>
        </w:numPr>
      </w:pPr>
      <w:r>
        <w:t xml:space="preserve">NdFeB processing bottleneck: China’s unique completeness across NdFeB processing stages and high import dependence for sintered NdFeB creates vulnerability during periods of heightened demand and/or export restrictions.</w:t>
      </w:r>
    </w:p>
    <w:p>
      <w:pPr>
        <w:pStyle w:val="Compact"/>
        <w:numPr>
          <w:ilvl w:val="0"/>
          <w:numId w:val="1004"/>
        </w:numPr>
      </w:pPr>
      <w:r>
        <w:t xml:space="preserve">Qualification bottleneck: DFARS-related sourcing and provenance requirements are tightening into 2025–2027 with an expanded prohibition effective January 1, 2027, raising the time and cost to qualify alternative sources for magnets and their upstream materials.</w:t>
      </w:r>
    </w:p>
    <w:p>
      <w:pPr>
        <w:pStyle w:val="Compact"/>
        <w:numPr>
          <w:ilvl w:val="0"/>
          <w:numId w:val="1004"/>
        </w:numPr>
      </w:pPr>
      <w:r>
        <w:t xml:space="preserve">Compliance asymmetry for SmCo: one dataset source explicitly states “SmCo has NO recycling exemption under DFARS,” which implies that recycling-driven compliance pathways may be more constrained for SmCo than for NdFeB under defense procurement rules as interpreted in this dataset.</w:t>
      </w:r>
    </w:p>
    <w:bookmarkEnd w:id="28"/>
    <w:bookmarkStart w:id="29" w:name="machining-waste-implications"/>
    <w:p>
      <w:pPr>
        <w:pStyle w:val="Heading2"/>
      </w:pPr>
      <w:r>
        <w:t xml:space="preserve">Machining Waste Implications</w:t>
      </w:r>
    </w:p>
    <w:p>
      <w:pPr>
        <w:pStyle w:val="FirstParagraph"/>
      </w:pPr>
      <w:r>
        <w:t xml:space="preserve">Even though per-interceptor magnet mass is not publicly supported in the provided sources, machining yield data implies that a substantial fraction of magnet material can become machining swarf/sludge, which scales with interceptor production rates and precision requirements. One dataset source provides SmCo swarf composition (approximately 23% Sm and 50% Co by weight, with Fe, Cu, and Zr constituents), implying that SmCo machining waste is not only an environmental liability but also a concentrated strategic-metal stream whose value and compliance relevance increase during surge production.</w:t>
      </w:r>
    </w:p>
    <w:p>
      <w:pPr>
        <w:pStyle w:val="BodyText"/>
      </w:pPr>
      <w:r>
        <w:t xml:space="preserve">This matters for surge conditions because a higher missile output implies higher magnet machining throughput at Tier-2/Tier-3 suppliers, which in turn implies higher volumes of magnet-bearing waste streams and greater incentives to treat and recover valuable metals domestically—especially when procurement rules and supply chain security concerns are tightening in parallel with surge demand.</w:t>
      </w:r>
    </w:p>
    <w:bookmarkEnd w:id="29"/>
    <w:bookmarkStart w:id="30" w:name="assumptions-and-uncertainties"/>
    <w:p>
      <w:pPr>
        <w:pStyle w:val="Heading2"/>
      </w:pPr>
      <w:r>
        <w:t xml:space="preserve">Assumptions and Uncertainties</w:t>
      </w:r>
    </w:p>
    <w:p>
      <w:pPr>
        <w:pStyle w:val="FirstParagraph"/>
      </w:pPr>
      <w:r>
        <w:t xml:space="preserve">Most platform-specific magnet composition, grade selection, and per-interceptor magnet mass values are not available in the cited public sources, and at least one technical source explicitly notes it does not provide permanent magnet weights or actuator motor quantities in guided munitions, limiting the defensibility of any fixed “kg of magnets per interceptor” estimate from this dataset alone. Many production announcements (including large contracts and aid-funded procurements) do not disclose interceptor quantities, and multiple sources explicitly state that quantities were not provided for security or procurement reasons, which forces scenario modeling to rely on bounded procurement signals (e.g., FY25 MRIC missiles) and a small number of surge-demand estimates (e.g., 8,000–12,000+ interceptors/year). Finally, supply-side capacity for SmCo is described as highly concentrated and vulnerable to disruption, but the dataset provides limited, potentially inconsistent global capacity figures across market reports, so capacity analysis should be treated as indicative rather than definitive unless validated against primary industry production statistics.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2026-02-12T19:38:37Z</dcterms:created>
  <dcterms:modified xsi:type="dcterms:W3CDTF">2026-02-12T19:38:37Z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