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9b11bf9f1857544eddb1cdb2f57374e7f5773ed"/>
    <w:p>
      <w:pPr>
        <w:pStyle w:val="Heading1"/>
      </w:pPr>
      <w:r>
        <w:t xml:space="preserve">Competitive Technology Analysis for Rare Earth and Cobalt Recovery from Magnet Machining Streams (Part 2)</w:t>
      </w:r>
    </w:p>
    <w:bookmarkStart w:id="20" w:name="biosorption-and-bioaccumulation"/>
    <w:p>
      <w:pPr>
        <w:pStyle w:val="Heading2"/>
      </w:pPr>
      <w:r>
        <w:t xml:space="preserve">Biosorption and bioaccumulation</w:t>
      </w:r>
    </w:p>
    <w:p>
      <w:pPr>
        <w:pStyle w:val="FirstParagraph"/>
      </w:pPr>
      <w:r>
        <w:t xml:space="preserve">Biosorption and bioaccumulation rely on the migration of dissolved REEs from water to algal biomass surfaces and/or into cells, followed by a second step that transfers the concentrated REEs back into a recoverable solution (e.g., via desorption or extraction). In practice, this means performance is governed by surface functional groups (cell-wall polysaccharides/proteins, extracellular polymeric substances (EPS), and engineered/modified sites), aqueous speciation, and competing ions that occupy binding sites or alter charge balance.</w:t>
      </w:r>
    </w:p>
    <w:p>
      <w:pPr>
        <w:pStyle w:val="BodyText"/>
      </w:pPr>
      <w:r>
        <w:t xml:space="preserve">Reported biosorption performance varies widely by organism, metal, and test conditions, but the literature provides quantitative anchors that are relevant to defense-magnet wastewater scenarios spanning trace (µg/L) through moderate (mg/L to hundreds mg/L) metal concentrations. For neodymium uptake by the microalga</w:t>
      </w:r>
      <w:r>
        <w:t xml:space="preserve"> </w:t>
      </w:r>
      <w:r>
        <w:rPr>
          <w:i/>
          <w:iCs/>
        </w:rPr>
        <w:t xml:space="preserve">Chlorella vulgaris</w:t>
      </w:r>
      <w:r>
        <w:t xml:space="preserve"> </w:t>
      </w:r>
      <w:r>
        <w:t xml:space="preserve">at pH 5, batch tests with an initial Nd concentration of 250 mg/L reported maximum Nd uptakes of 126.13 mg/g at 21°C and 157.40 mg/g at 35°C, with equilibrium reached within 30 minutes, and a Langmuir maximum capacity (qmax) of 188.68 mg/g. In another biological sorbent example,</w:t>
      </w:r>
      <w:r>
        <w:t xml:space="preserve"> </w:t>
      </w:r>
      <w:r>
        <w:rPr>
          <w:i/>
          <w:iCs/>
        </w:rPr>
        <w:t xml:space="preserve">Physcomitrella patens</w:t>
      </w:r>
      <w:r>
        <w:t xml:space="preserve"> </w:t>
      </w:r>
      <w:r>
        <w:t xml:space="preserve">demonstrated Nd sorption rates/capacities reported as ~0.74–0.75 mmol/g and showed strong pH dependence with maximum Nd biosorption around pH ~3 and near-constant performance up to pH 6. For cyanobacterial/EPS-derived sorbents, maximum adsorption capacities in the range of 89.12–138.2 mg/g were reported across strains, and EPS-extracted biomass retained substantial fractions of the untreated adsorption capacity (e.g., ~59% to ~84% depending on strain).</w:t>
      </w:r>
    </w:p>
    <w:p>
      <w:pPr>
        <w:pStyle w:val="BodyText"/>
      </w:pPr>
      <w:r>
        <w:t xml:space="preserve">Biosorption frequently exhibits an “optimal window” in mildly acidic conditions for many REE systems, consistent with both adsorption site protonation behavior and REE speciation. A review focused on microorganisms and dilute REE feeds notes biosorption is commonly preferred at pH 3–6, with a frequently reported optimum around pH 5. Experimental work with the acidophilic red microalga</w:t>
      </w:r>
      <w:r>
        <w:t xml:space="preserve"> </w:t>
      </w:r>
      <w:r>
        <w:rPr>
          <w:i/>
          <w:iCs/>
        </w:rPr>
        <w:t xml:space="preserve">Galdieria sulphuraria</w:t>
      </w:r>
      <w:r>
        <w:t xml:space="preserve"> </w:t>
      </w:r>
      <w:r>
        <w:t xml:space="preserve">showed removal efficiency from solution increasing from below 9% at pH 2.5 to as high as 86% at pH 5.0 in mixed-metal (ppm-level) tests, and also cites prior work reporting &gt;90% REE removal from a 5 ppm solution under highly acidic conditions (pH 1.5–2.5), indicating that both organism choice and nutrient/medium conditions can shift the usable pH window. In seaweed-based biosorption at trace concentrations, living</w:t>
      </w:r>
      <w:r>
        <w:t xml:space="preserve"> </w:t>
      </w:r>
      <w:r>
        <w:rPr>
          <w:i/>
          <w:iCs/>
        </w:rPr>
        <w:t xml:space="preserve">Ulva</w:t>
      </w:r>
      <w:r>
        <w:t xml:space="preserve"> </w:t>
      </w:r>
      <w:r>
        <w:t xml:space="preserve">sp. achieved removals up to 88% in 24 hours under optimized conditions (10 µg/L, salinity 15, dosage 5.0 g/L), and ≥90% removal at 96 hours with reduced biomass dosage (4.2 g/L).</w:t>
      </w:r>
    </w:p>
    <w:p>
      <w:pPr>
        <w:pStyle w:val="BodyText"/>
      </w:pPr>
      <w:r>
        <w:t xml:space="preserve">Selectivity is a key uncertainty for algae-based processes when applied to mixed-metal machining coolants. For example,</w:t>
      </w:r>
      <w:r>
        <w:t xml:space="preserve"> </w:t>
      </w:r>
      <w:r>
        <w:rPr>
          <w:i/>
          <w:iCs/>
        </w:rPr>
        <w:t xml:space="preserve">Galdieria sulphuraria</w:t>
      </w:r>
      <w:r>
        <w:t xml:space="preserve"> </w:t>
      </w:r>
      <w:r>
        <w:t xml:space="preserve">biosorption data showed no particular selectivity towards REEs over Cu in mixed-metal tests, which is directly relevant to real-world coolants and rinse waters that often contain transition metals alongside REEs. Conversely, some literature argues for the potential of EPS and related biological materials as effective adsorbents for separation and recovery from wastewater, but without consistently reporting separation factors in realistic multicomponent streams. Where biosorption is used primarily as a concentration step, downstream recovery is commonly framed as desorption and/or conversion of the biomass to a denser, metal-rich intermediate. One seaweed study verified that REEs removed by</w:t>
      </w:r>
      <w:r>
        <w:t xml:space="preserve"> </w:t>
      </w:r>
      <w:r>
        <w:rPr>
          <w:i/>
          <w:iCs/>
        </w:rPr>
        <w:t xml:space="preserve">Ulva</w:t>
      </w:r>
      <w:r>
        <w:t xml:space="preserve"> </w:t>
      </w:r>
      <w:r>
        <w:t xml:space="preserve">sp. were mostly surface-bound and were easily desorbed with a 15-minute EDTA wash; it also notes that diluted acids and chelating agents can be efficient for regeneration and REE recovery from seaweed biomass. More generally, adsorption–desorption cycling and reversibility are described as key factors for environmentally friendly and cost-effective implementation, and EPS/biomass can be dried into a metal-enriched powder for further processing.</w:t>
      </w:r>
    </w:p>
    <w:p>
      <w:pPr>
        <w:pStyle w:val="BodyText"/>
      </w:pPr>
      <w:r>
        <w:t xml:space="preserve">From an energy-and-waste perspective, biosorption is repeatedly positioned as a “green” alternative to conventional routes because it can avoid large volumes of chemical precipitation sludge and can operate at dilute concentrations where solvent extraction is inefficient. Biosorption has been described as efficient and cost-effective and as avoiding generation of chemical sludge in comparison with conventional methods. Multiple reviews contrast biological approaches with conventional hydrometallurgical/pyro/electrometallurgical recovery methods that can be energy-intensive and can generate secondary pollutants such as spent extractants/electrolytes.</w:t>
      </w:r>
    </w:p>
    <w:bookmarkEnd w:id="20"/>
    <w:bookmarkStart w:id="21" w:name="comparison-matrix"/>
    <w:p>
      <w:pPr>
        <w:pStyle w:val="Heading2"/>
      </w:pPr>
      <w:r>
        <w:t xml:space="preserve">Comparison matrix</w:t>
      </w:r>
    </w:p>
    <w:p>
      <w:pPr>
        <w:pStyle w:val="FirstParagraph"/>
      </w:pPr>
      <w:r>
        <w:t xml:space="preserve">The table below provides a side-by-side comparison of six technology families as they relate to dilute-to-moderate REE and cobalt streams typical of machining coolants, rinses, and associated wastewater. Where the reviewed sources did not provide quantitative CAPEX/OPEX ranges, the table records that limitation and cites qualitative cost statements.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Technology family</w:t>
            </w:r>
          </w:p>
        </w:tc>
        <w:tc>
          <w:tcPr/>
          <w:p>
            <w:pPr>
              <w:pStyle w:val="Compact"/>
            </w:pPr>
            <w:r>
              <w:t xml:space="preserve">Removal efficiency evidence</w:t>
            </w:r>
          </w:p>
        </w:tc>
        <w:tc>
          <w:tcPr/>
          <w:p>
            <w:pPr>
              <w:pStyle w:val="Compact"/>
            </w:pPr>
            <w:r>
              <w:t xml:space="preserve">Selectivity evidence</w:t>
            </w:r>
          </w:p>
        </w:tc>
        <w:tc>
          <w:tcPr/>
          <w:p>
            <w:pPr>
              <w:pStyle w:val="Compact"/>
            </w:pPr>
            <w:r>
              <w:t xml:space="preserve">CAPEX and OPEX signal</w:t>
            </w:r>
          </w:p>
        </w:tc>
        <w:tc>
          <w:tcPr/>
          <w:p>
            <w:pPr>
              <w:pStyle w:val="Compact"/>
            </w:pPr>
            <w:r>
              <w:t xml:space="preserve">TRL signal</w:t>
            </w:r>
          </w:p>
        </w:tc>
        <w:tc>
          <w:tcPr/>
          <w:p>
            <w:pPr>
              <w:pStyle w:val="Compact"/>
            </w:pPr>
            <w:r>
              <w:t xml:space="preserve">Feed concentration fit</w:t>
            </w:r>
          </w:p>
        </w:tc>
        <w:tc>
          <w:tcPr/>
          <w:p>
            <w:pPr>
              <w:pStyle w:val="Compact"/>
            </w:pPr>
            <w:r>
              <w:t xml:space="preserve">Key advantage</w:t>
            </w:r>
          </w:p>
        </w:tc>
        <w:tc>
          <w:tcPr/>
          <w:p>
            <w:pPr>
              <w:pStyle w:val="Compact"/>
            </w:pPr>
            <w:r>
              <w:t xml:space="preserve">Key disadvantage</w:t>
            </w:r>
          </w:p>
        </w:tc>
      </w:tr>
      <w:tr>
        <w:tc>
          <w:tcPr/>
          <w:p>
            <w:pPr>
              <w:pStyle w:val="Compact"/>
            </w:pPr>
            <w:r>
              <w:t xml:space="preserve">Chemical precipitation</w:t>
            </w:r>
          </w:p>
        </w:tc>
        <w:tc>
          <w:tcPr/>
          <w:p>
            <w:pPr>
              <w:pStyle w:val="Compact"/>
            </w:pPr>
            <w:r>
              <w:t xml:space="preserve">Reported as high removal (e.g., &gt;95%) in general descriptions, but commonly produces mixed precipitates.</w:t>
            </w:r>
          </w:p>
        </w:tc>
        <w:tc>
          <w:tcPr/>
          <w:p>
            <w:pPr>
              <w:pStyle w:val="Compact"/>
            </w:pPr>
            <w:r>
              <w:t xml:space="preserve">Generally non-selective; overlapping precipitation windows can drive co-precipitation losses (e.g., REE with Al).</w:t>
            </w:r>
          </w:p>
        </w:tc>
        <w:tc>
          <w:tcPr/>
          <w:p>
            <w:pPr>
              <w:pStyle w:val="Compact"/>
            </w:pPr>
            <w:r>
              <w:t xml:space="preserve">“Relatively low costs” and low energy use stated qualitatively; sludge can cause secondary pollution.</w:t>
            </w:r>
          </w:p>
        </w:tc>
        <w:tc>
          <w:tcPr/>
          <w:p>
            <w:pPr>
              <w:pStyle w:val="Compact"/>
            </w:pPr>
            <w:r>
              <w:t xml:space="preserve">Commercially common for metals wastewater treatment and bulk removal.</w:t>
            </w:r>
          </w:p>
        </w:tc>
        <w:tc>
          <w:tcPr/>
          <w:p>
            <w:pPr>
              <w:pStyle w:val="Compact"/>
            </w:pPr>
            <w:r>
              <w:t xml:space="preserve">Best for moderate-to-high metals where sludge handling is acceptable; not ideal for trace recovery value capture.</w:t>
            </w:r>
          </w:p>
        </w:tc>
        <w:tc>
          <w:tcPr/>
          <w:p>
            <w:pPr>
              <w:pStyle w:val="Compact"/>
            </w:pPr>
            <w:r>
              <w:t xml:space="preserve">Simple, robust, high removal.</w:t>
            </w:r>
          </w:p>
        </w:tc>
        <w:tc>
          <w:tcPr/>
          <w:p>
            <w:pPr>
              <w:pStyle w:val="Compact"/>
            </w:pPr>
            <w:r>
              <w:t xml:space="preserve">Large sludge volumes, low selectivity, downstream refining required.</w:t>
            </w:r>
          </w:p>
        </w:tc>
      </w:tr>
      <w:tr>
        <w:tc>
          <w:tcPr/>
          <w:p>
            <w:pPr>
              <w:pStyle w:val="Compact"/>
            </w:pPr>
            <w:r>
              <w:t xml:space="preserve">Membranes (UF/NF/RO and membrane distillation)</w:t>
            </w:r>
          </w:p>
        </w:tc>
        <w:tc>
          <w:tcPr/>
          <w:p>
            <w:pPr>
              <w:pStyle w:val="Compact"/>
            </w:pPr>
            <w:r>
              <w:t xml:space="preserve">UF/NF described as pre-treatment and concentration; DCMD example reports flux 7.0±0.5 L/m²·h and modeled yield of 193.2 g of 99% EuCl₃ per 1000 m³ AMD when integrated with adsorption/concentration.</w:t>
            </w:r>
          </w:p>
        </w:tc>
        <w:tc>
          <w:tcPr/>
          <w:p>
            <w:pPr>
              <w:pStyle w:val="Compact"/>
            </w:pPr>
            <w:r>
              <w:t xml:space="preserve">NF can reject multivalent ions and has promise for REE separation; performance sensitive to fouling in practice.</w:t>
            </w:r>
          </w:p>
        </w:tc>
        <w:tc>
          <w:tcPr/>
          <w:p>
            <w:pPr>
              <w:pStyle w:val="Compact"/>
            </w:pPr>
            <w:r>
              <w:t xml:space="preserve">High installation/maintenance costs and frequent replacement noted qualitatively; no universal $ ranges provided.</w:t>
            </w:r>
          </w:p>
        </w:tc>
        <w:tc>
          <w:tcPr/>
          <w:p>
            <w:pPr>
              <w:pStyle w:val="Compact"/>
            </w:pPr>
            <w:r>
              <w:t xml:space="preserve">UF/NF used commercially for pre-treatment; advanced integrated schemes often bench/pilot in the cited studies.</w:t>
            </w:r>
          </w:p>
        </w:tc>
        <w:tc>
          <w:tcPr/>
          <w:p>
            <w:pPr>
              <w:pStyle w:val="Compact"/>
            </w:pPr>
            <w:r>
              <w:t xml:space="preserve">Useful as front-end solids/emulsion removal and to concentrate dilute streams.</w:t>
            </w:r>
          </w:p>
        </w:tc>
        <w:tc>
          <w:tcPr/>
          <w:p>
            <w:pPr>
              <w:pStyle w:val="Compact"/>
            </w:pPr>
            <w:r>
              <w:t xml:space="preserve">Produces a concentrate stream without immediate chemical sludge generation.</w:t>
            </w:r>
          </w:p>
        </w:tc>
        <w:tc>
          <w:tcPr/>
          <w:p>
            <w:pPr>
              <w:pStyle w:val="Compact"/>
            </w:pPr>
            <w:r>
              <w:t xml:space="preserve">Fouling and maintenance burden; often still requires a downstream recovery step to make product.</w:t>
            </w:r>
          </w:p>
        </w:tc>
      </w:tr>
      <w:tr>
        <w:tc>
          <w:tcPr/>
          <w:p>
            <w:pPr>
              <w:pStyle w:val="Compact"/>
            </w:pPr>
            <w:r>
              <w:t xml:space="preserve">Ion exchange and chelating resins</w:t>
            </w:r>
          </w:p>
        </w:tc>
        <w:tc>
          <w:tcPr/>
          <w:p>
            <w:pPr>
              <w:pStyle w:val="Compact"/>
            </w:pPr>
            <w:r>
              <w:t xml:space="preserve">High retention can be achieved under optimized pH; examples include 97.78% retention at pH 2 on a cation resin (AG 50W-X4) and &gt;99% retention at pH 7 on an anion resin (reported in batch tests).</w:t>
            </w:r>
          </w:p>
        </w:tc>
        <w:tc>
          <w:tcPr/>
          <w:p>
            <w:pPr>
              <w:pStyle w:val="Compact"/>
            </w:pPr>
            <w:r>
              <w:t xml:space="preserve">Selectivity depends on resin functional groups; cation resins can show higher affinity for heavy REEs; chelation and EDTA elution can yield high HREE purity (e.g., 98.4% HREE in eluate under specific column conditions).</w:t>
            </w:r>
          </w:p>
        </w:tc>
        <w:tc>
          <w:tcPr/>
          <w:p>
            <w:pPr>
              <w:pStyle w:val="Compact"/>
            </w:pPr>
            <w:r>
              <w:t xml:space="preserve">No direct CAPEX/OPEX; positioned as suitable for dilute feeds and “high selectivity” with manageable maintenance in qualitative summaries.</w:t>
            </w:r>
          </w:p>
        </w:tc>
        <w:tc>
          <w:tcPr/>
          <w:p>
            <w:pPr>
              <w:pStyle w:val="Compact"/>
            </w:pPr>
            <w:r>
              <w:t xml:space="preserve">Resins are commercial products; specific REE fractionation flowsheets may be lab-to-pilot in literature demonstrations.</w:t>
            </w:r>
          </w:p>
        </w:tc>
        <w:tc>
          <w:tcPr/>
          <w:p>
            <w:pPr>
              <w:pStyle w:val="Compact"/>
            </w:pPr>
            <w:r>
              <w:t xml:space="preserve">Strong fit for dilute-to-moderate feeds where long contact time and regeneration are feasible.</w:t>
            </w:r>
          </w:p>
        </w:tc>
        <w:tc>
          <w:tcPr/>
          <w:p>
            <w:pPr>
              <w:pStyle w:val="Compact"/>
            </w:pPr>
            <w:r>
              <w:t xml:space="preserve">High selectivity potential and regenerability; can produce concentrated eluates for downstream precipitation/refining.</w:t>
            </w:r>
          </w:p>
        </w:tc>
        <w:tc>
          <w:tcPr/>
          <w:p>
            <w:pPr>
              <w:pStyle w:val="Compact"/>
            </w:pPr>
            <w:r>
              <w:t xml:space="preserve">Slow processing at low concentrations can lead to prolonged batch operations (reported up to a month in one discussion).</w:t>
            </w:r>
          </w:p>
        </w:tc>
      </w:tr>
      <w:tr>
        <w:tc>
          <w:tcPr/>
          <w:p>
            <w:pPr>
              <w:pStyle w:val="Compact"/>
            </w:pPr>
            <w:r>
              <w:t xml:space="preserve">Biosorption and bioaccumulation</w:t>
            </w:r>
          </w:p>
        </w:tc>
        <w:tc>
          <w:tcPr/>
          <w:p>
            <w:pPr>
              <w:pStyle w:val="Compact"/>
            </w:pPr>
            <w:r>
              <w:t xml:space="preserve">Quantitative examples include:</w:t>
            </w:r>
            <w:r>
              <w:t xml:space="preserve"> </w:t>
            </w:r>
            <w:r>
              <w:rPr>
                <w:i/>
                <w:iCs/>
              </w:rPr>
              <w:t xml:space="preserve">C. vulgaris</w:t>
            </w:r>
            <w:r>
              <w:t xml:space="preserve"> </w:t>
            </w:r>
            <w:r>
              <w:t xml:space="preserve">Nd uptake up to 157.40 mg/g at pH 5 with equilibrium within 30 min;</w:t>
            </w:r>
            <w:r>
              <w:t xml:space="preserve"> </w:t>
            </w:r>
            <w:r>
              <w:rPr>
                <w:i/>
                <w:iCs/>
              </w:rPr>
              <w:t xml:space="preserve">Ulva</w:t>
            </w:r>
            <w:r>
              <w:t xml:space="preserve"> </w:t>
            </w:r>
            <w:r>
              <w:t xml:space="preserve">sp. removals up to 88% in 24 h and ≥90% at 96 h in trace solutions; EPS adsorption capacities 89.12–138.2 mg/g in single-metal tests.</w:t>
            </w:r>
          </w:p>
        </w:tc>
        <w:tc>
          <w:tcPr/>
          <w:p>
            <w:pPr>
              <w:pStyle w:val="Compact"/>
            </w:pPr>
            <w:r>
              <w:t xml:space="preserve">Selectivity is variable; some systems show limited selectivity against competing ions (e.g., no particular selectivity of REEs over Cu for</w:t>
            </w:r>
            <w:r>
              <w:t xml:space="preserve"> </w:t>
            </w:r>
            <w:r>
              <w:rPr>
                <w:i/>
                <w:iCs/>
              </w:rPr>
              <w:t xml:space="preserve">G. sulphuraria</w:t>
            </w:r>
            <w:r>
              <w:t xml:space="preserve">), while EPS is positioned as promising for separation without quantified separation factors in the cited excerpt.</w:t>
            </w:r>
          </w:p>
        </w:tc>
        <w:tc>
          <w:tcPr/>
          <w:p>
            <w:pPr>
              <w:pStyle w:val="Compact"/>
            </w:pPr>
            <w:r>
              <w:t xml:space="preserve">Often framed as low-energy/low-cost and sustainable; avoids chemical sludge, but no system-level CAPEX/OPEX numbers provided in the reviewed excerpts.</w:t>
            </w:r>
          </w:p>
        </w:tc>
        <w:tc>
          <w:tcPr/>
          <w:p>
            <w:pPr>
              <w:pStyle w:val="Compact"/>
            </w:pPr>
            <w:r>
              <w:t xml:space="preserve">Repeatedly described as needing further development toward practical deployment; positioned as lab-to-pilot with commercial potential.</w:t>
            </w:r>
          </w:p>
        </w:tc>
        <w:tc>
          <w:tcPr/>
          <w:p>
            <w:pPr>
              <w:pStyle w:val="Compact"/>
            </w:pPr>
            <w:r>
              <w:t xml:space="preserve">Strong conceptual fit for dilute streams where solvent extraction is inefficient (&lt;100 ppm).</w:t>
            </w:r>
          </w:p>
        </w:tc>
        <w:tc>
          <w:tcPr/>
          <w:p>
            <w:pPr>
              <w:pStyle w:val="Compact"/>
            </w:pPr>
            <w:r>
              <w:t xml:space="preserve">Potentially lower energy and lower secondary chemical waste; yields metal-enriched biomass for downstream recovery.</w:t>
            </w:r>
          </w:p>
        </w:tc>
        <w:tc>
          <w:tcPr/>
          <w:p>
            <w:pPr>
              <w:pStyle w:val="Compact"/>
            </w:pPr>
            <w:r>
              <w:t xml:space="preserve">Early TRL; sensitive to pH/speciation and competing ions; longer contact times in some systems and biomass handling required.</w:t>
            </w:r>
          </w:p>
        </w:tc>
      </w:tr>
      <w:tr>
        <w:tc>
          <w:tcPr/>
          <w:p>
            <w:pPr>
              <w:pStyle w:val="Compact"/>
            </w:pPr>
            <w:r>
              <w:t xml:space="preserve">Solvent extraction</w:t>
            </w:r>
          </w:p>
        </w:tc>
        <w:tc>
          <w:tcPr/>
          <w:p>
            <w:pPr>
              <w:pStyle w:val="Compact"/>
            </w:pPr>
            <w:r>
              <w:t xml:space="preserve">High extraction is achievable at high concentrations (e.g., ~99% extraction of Nd/Tb/Dy using 0.8 M D2EHPA from a 1500 mg/L-each synthetic feed; D2EHPA equilibrium reached after ~10 min in one study).</w:t>
            </w:r>
          </w:p>
        </w:tc>
        <w:tc>
          <w:tcPr/>
          <w:p>
            <w:pPr>
              <w:pStyle w:val="Compact"/>
            </w:pPr>
            <w:r>
              <w:t xml:space="preserve">Single-stage separation factors can be low for adjacent REEs, requiring many stages (e.g., 40–50 stages for separation factor ~2 noted in one discussion).</w:t>
            </w:r>
          </w:p>
        </w:tc>
        <w:tc>
          <w:tcPr/>
          <w:p>
            <w:pPr>
              <w:pStyle w:val="Compact"/>
            </w:pPr>
            <w:r>
              <w:t xml:space="preserve">Characterized as having high capital and operating costs and operational challenges (emulsification, flooding, loading limits); quantitative $ not provided in cited text.</w:t>
            </w:r>
          </w:p>
        </w:tc>
        <w:tc>
          <w:tcPr/>
          <w:p>
            <w:pPr>
              <w:pStyle w:val="Compact"/>
            </w:pPr>
            <w:r>
              <w:t xml:space="preserve">Commercially used and often the preferred industrial process for REE production and separations.</w:t>
            </w:r>
          </w:p>
        </w:tc>
        <w:tc>
          <w:tcPr/>
          <w:p>
            <w:pPr>
              <w:pStyle w:val="Compact"/>
            </w:pPr>
            <w:r>
              <w:t xml:space="preserve">Best fit for concentrated leachates; limited applicability when REEs are dilute (&lt;100 ppm).</w:t>
            </w:r>
          </w:p>
        </w:tc>
        <w:tc>
          <w:tcPr/>
          <w:p>
            <w:pPr>
              <w:pStyle w:val="Compact"/>
            </w:pPr>
            <w:r>
              <w:t xml:space="preserve">Mature, scalable, continuous, high throughput at concentration.</w:t>
            </w:r>
          </w:p>
        </w:tc>
        <w:tc>
          <w:tcPr/>
          <w:p>
            <w:pPr>
              <w:pStyle w:val="Compact"/>
            </w:pPr>
            <w:r>
              <w:t xml:space="preserve">Poor economics for dilute streams; solvent loss and secondary waste concerns; complex stage count for fine separations.</w:t>
            </w:r>
          </w:p>
        </w:tc>
      </w:tr>
      <w:tr>
        <w:tc>
          <w:tcPr/>
          <w:p>
            <w:pPr>
              <w:pStyle w:val="Compact"/>
            </w:pPr>
            <w:r>
              <w:t xml:space="preserve">Electrochemical and electro-membrane (electrodialysis, CDI, ESIX)</w:t>
            </w:r>
          </w:p>
        </w:tc>
        <w:tc>
          <w:tcPr/>
          <w:p>
            <w:pPr>
              <w:pStyle w:val="Compact"/>
            </w:pPr>
            <w:r>
              <w:t xml:space="preserve">Electrodialysis examples include 99.52% Sc³⁺ removal from 20 ppm at 3 V and extraction/recovery values reported for Nd/Dy/Tb (e.g., Tb 90% extracted, 55% recovered) in a cited dataset; chelation-assisted electrodialysis achieved Dy yield 82% and purity 86% at pH 4 with energy sensitivity to voltage (SEC 48 kWh/mol at 14 V vs 14 kWh/mol at 4 V).</w:t>
            </w:r>
          </w:p>
        </w:tc>
        <w:tc>
          <w:tcPr/>
          <w:p>
            <w:pPr>
              <w:pStyle w:val="Compact"/>
            </w:pPr>
            <w:r>
              <w:t xml:space="preserve">Selectivity can be tuned with chelants (EDTA) and membrane configuration; a separation factor of 56 was reported for Dy vs Nd/Pr under stated conditions.</w:t>
            </w:r>
          </w:p>
        </w:tc>
        <w:tc>
          <w:tcPr/>
          <w:p>
            <w:pPr>
              <w:pStyle w:val="Compact"/>
            </w:pPr>
            <w:r>
              <w:t xml:space="preserve">Energy use and scale-up constraints are repeatedly emphasized; quantitative system cost not provided in the cited excerpts.</w:t>
            </w:r>
          </w:p>
        </w:tc>
        <w:tc>
          <w:tcPr/>
          <w:p>
            <w:pPr>
              <w:pStyle w:val="Compact"/>
            </w:pPr>
            <w:r>
              <w:t xml:space="preserve">Many approaches are lab-to-pilot, with limited large-scale application experience in wastewater contexts.</w:t>
            </w:r>
          </w:p>
        </w:tc>
        <w:tc>
          <w:tcPr/>
          <w:p>
            <w:pPr>
              <w:pStyle w:val="Compact"/>
            </w:pPr>
            <w:r>
              <w:t xml:space="preserve">More viable when a concentrate is available or when membrane/electrochemical architectures overcome mass-transfer limits in dilute feeds.</w:t>
            </w:r>
          </w:p>
        </w:tc>
        <w:tc>
          <w:tcPr/>
          <w:p>
            <w:pPr>
              <w:pStyle w:val="Compact"/>
            </w:pPr>
            <w:r>
              <w:t xml:space="preserve">Potential for selective recovery without chemical sludge; continuous operation possible (electrodialysis).</w:t>
            </w:r>
          </w:p>
        </w:tc>
        <w:tc>
          <w:tcPr/>
          <w:p>
            <w:pPr>
              <w:pStyle w:val="Compact"/>
            </w:pPr>
            <w:r>
              <w:t xml:space="preserve">Energy intensity and mass-transfer limits in dilute streams; REE electrodeposition is not feasible in aqueous electrolytes due to very negative standard potentials.</w:t>
            </w:r>
          </w:p>
        </w:tc>
      </w:tr>
    </w:tbl>
    <w:bookmarkEnd w:id="21"/>
    <w:bookmarkStart w:id="22" w:name="positioning"/>
    <w:p>
      <w:pPr>
        <w:pStyle w:val="Heading2"/>
      </w:pPr>
      <w:r>
        <w:t xml:space="preserve">Positioning</w:t>
      </w:r>
    </w:p>
    <w:p>
      <w:pPr>
        <w:pStyle w:val="FirstParagraph"/>
      </w:pPr>
      <w:r>
        <w:t xml:space="preserve">Algamol’s “algae-first” positioning is best supported when the wastewater is (a) too dilute for solvent extraction to be efficient, and/or (b) burdened by complex organic matrices where precipitation would create large mixed sludges and lose value in low-grade solids. A key technical rationale is that conventional organic-solvent extraction has limited applicability when REE concentrations are below ~100 ppm, which is consistent with many rinse waters and diluted coolant effluents (even if grinding sludge itself is solids-rich). In those dilute regimes, biosorption is repeatedly presented as a greener and cheaper tool to remove REEs from aqueous solutions and as having advantages such as lower sludge volumes and the potential for element recovery.</w:t>
      </w:r>
    </w:p>
    <w:p>
      <w:pPr>
        <w:pStyle w:val="BodyText"/>
      </w:pPr>
      <w:r>
        <w:t xml:space="preserve">A practical differentiation thesis for Algamol is to focus less on “replacing” precipitation (which is described as simple, low-cost, and high-removal but non-selective) and more on building a hybrid, compliance-ready recovery train where algae-based capture produces a security-relevant, metal-enriched intermediate while minimizing secondary chemical sludge. In this framing, biosorption acts as a selective or semi-selective capture/concentration step, followed by desorption into a smaller-volume eluate suitable for conventional refining (e.g., oxalate precipitation or other downstream hydromet steps).</w:t>
      </w:r>
    </w:p>
    <w:p>
      <w:pPr>
        <w:pStyle w:val="BodyText"/>
      </w:pPr>
      <w:r>
        <w:t xml:space="preserve">A recommended “default” hybrid architecture consistent with the reviewed evidence is:</w:t>
      </w:r>
    </w:p>
    <w:p>
      <w:pPr>
        <w:pStyle w:val="Compact"/>
        <w:numPr>
          <w:ilvl w:val="0"/>
          <w:numId w:val="1001"/>
        </w:numPr>
      </w:pPr>
      <w:r>
        <w:t xml:space="preserve">UF as an upfront step for emulsion breaking and solids removal in oily machining streams, reducing downstream fouling and biomass poisoning risk.</w:t>
      </w:r>
    </w:p>
    <w:p>
      <w:pPr>
        <w:pStyle w:val="Compact"/>
        <w:numPr>
          <w:ilvl w:val="0"/>
          <w:numId w:val="1001"/>
        </w:numPr>
      </w:pPr>
      <w:r>
        <w:t xml:space="preserve">Biosorption/bioaccumulation operated in a pH regime compatible with strong REE uptake (many studies use or cite pH ~5 as effective), while explicitly controlling pH because REE complexation changes across pH 4–8 and above pH 8 due to organic and carbonate complexes.</w:t>
      </w:r>
    </w:p>
    <w:p>
      <w:pPr>
        <w:pStyle w:val="Compact"/>
        <w:numPr>
          <w:ilvl w:val="0"/>
          <w:numId w:val="1001"/>
        </w:numPr>
      </w:pPr>
      <w:r>
        <w:t xml:space="preserve">A downstream desorption/regeneration step (e.g., EDTA wash or diluted acid) to transfer REEs from biomass into a smaller-volume solution, enabling a conventional polishing step if needed.</w:t>
      </w:r>
    </w:p>
    <w:p>
      <w:pPr>
        <w:pStyle w:val="FirstParagraph"/>
      </w:pPr>
      <w:r>
        <w:t xml:space="preserve">This positioning also helps manage a known weakness: biosorbents may not be selective for REEs over key transition metals (e.g., Cu) in real mixed wastewaters, which implies either upstream impurity control or downstream fractionation is required. Complementary “precision” capture technologies—such as lanmodulin-based supports that can separate binary Nd/Y or Nd/Dy pairs—exist as a longer-term pathway to true REE fractionation, but scale-up may be constrained by biomolecule production and purification considerations discussed in the literature.</w:t>
      </w:r>
    </w:p>
    <w:bookmarkEnd w:id="22"/>
    <w:bookmarkStart w:id="23" w:name="recommendations"/>
    <w:p>
      <w:pPr>
        <w:pStyle w:val="Heading2"/>
      </w:pPr>
      <w:r>
        <w:t xml:space="preserve">Recommendations</w:t>
      </w:r>
    </w:p>
    <w:p>
      <w:pPr>
        <w:pStyle w:val="FirstParagraph"/>
      </w:pPr>
      <w:r>
        <w:t xml:space="preserve">Technology development priorities should be anchored in the demonstrated sensitivities of biosorption systems and in defensible test protocols that map to real machining wastewater complexity. The first recommendation is to generate performance curves across realistic pH and competing-ion conditions, because pH changes both microbial surface charge and metal speciation, and low pH can electrostatically repel cations while higher pH exposes deprotonated binding sites that enhance adsorption. These pH studies should explicitly track REE complexation behavior (organic complexes at pH 4–8 and carbonate complexes above pH 8), since speciation shifts can change both uptake and desorption behavior even at constant total metal concentration.</w:t>
      </w:r>
    </w:p>
    <w:p>
      <w:pPr>
        <w:pStyle w:val="BodyText"/>
      </w:pPr>
      <w:r>
        <w:t xml:space="preserve">The second recommendation is to prioritize experiments with both NdFeB-relevant REE and SmCo-relevant transition metals (notably cobalt) in the same matrix, and to quantify selectivity tradeoffs rather than relying on single-metal capacity tests. This is supported by evidence that some biosorbents show no selectivity for REEs over Cu in mixed feeds, and by separate demonstrations that algae can remove cobalt efficiently under specific conditions (e.g., 87.8% removal from a 50 mg/L Co feed in 60 minutes at pH 5).</w:t>
      </w:r>
    </w:p>
    <w:p>
      <w:pPr>
        <w:pStyle w:val="BodyText"/>
      </w:pPr>
      <w:r>
        <w:t xml:space="preserve">The third recommendation is to design and validate a closed-loop regeneration approach early, because adsorption–desorption cycling and reversibility are flagged as central to cost-effective implementation. EDTA desorption (15 minutes in one</w:t>
      </w:r>
      <w:r>
        <w:t xml:space="preserve"> </w:t>
      </w:r>
      <w:r>
        <w:rPr>
          <w:i/>
          <w:iCs/>
        </w:rPr>
        <w:t xml:space="preserve">Ulva</w:t>
      </w:r>
      <w:r>
        <w:t xml:space="preserve"> </w:t>
      </w:r>
      <w:r>
        <w:t xml:space="preserve">study) and regeneration with diluted acids are concrete starting points for bench-scale recycle-loop demonstrations, and EPS/biomass drying into a metal-enriched powder provides an alternative pathway to a solid intermediate for downstream processing.</w:t>
      </w:r>
    </w:p>
    <w:p>
      <w:pPr>
        <w:pStyle w:val="BodyText"/>
      </w:pPr>
      <w:r>
        <w:t xml:space="preserve">Finally, any pilot should be built as an integrated train rather than a “single-box” biology demo, because upstream solids/emulsion management and downstream recovery chemistry are critical determinants of operability. The reviewed literature explicitly supports UF as a pre-treatment for emulsion breaking and solids removal, and it repeatedly emphasizes that further research and optimization are necessary to determine feasibility and efficiency of EPS/biomass adsorption-based recovery in practical deployment contexts.</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2026-02-12T17:54:32Z</dcterms:created>
  <dcterms:modified xsi:type="dcterms:W3CDTF">2026-02-12T17:54:32Z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