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a38ee5aec417a872a0c20a8de44ed987ba1d9cb"/>
    <w:p>
      <w:pPr>
        <w:pStyle w:val="Heading1"/>
      </w:pPr>
      <w:r>
        <w:t xml:space="preserve">DFARS 252.225-7014 Compliance Pathway for Rare Earth Permanent Magnets in Defense Procurement</w:t>
      </w:r>
    </w:p>
    <w:bookmarkStart w:id="20" w:name="regulatory-overview"/>
    <w:p>
      <w:pPr>
        <w:pStyle w:val="Heading2"/>
      </w:pPr>
      <w:r>
        <w:t xml:space="preserve">Regulatory Overview</w:t>
      </w:r>
    </w:p>
    <w:p>
      <w:pPr>
        <w:pStyle w:val="FirstParagraph"/>
      </w:pPr>
      <w:r>
        <w:t xml:space="preserve">The U.S. Department of Defense (DoD) regulates the procurement of rare earth permanent magnets through a framework designed to strengthen the domestic industrial base and reduce reliance on foreign supply chains. This regulatory structure is primarily implemented through the Defense Federal Acquisition Regulation Supplement (DFARS), with its authority stemming from legislative mandates in various National Defense Authorization Acts (NDAA). Key regulations include DFARS 225.7018, "Restriction on acquisition of certain magnets, tantalum, and tungsten," and the corresponding contract clause, DFARS 252.225-7052.</w:t>
      </w:r>
    </w:p>
    <w:p>
      <w:pPr>
        <w:pStyle w:val="BodyText"/>
      </w:pPr>
      <w:r>
        <w:t xml:space="preserve">These regulations prohibit the DoD from acquiring "covered materials" that originate from specific "covered countries". The list of covered countries includes the People's Republic of China, the Russian Federation, the Democratic People's Republic of North Korea, and the Islamic Republic of Iran.</w:t>
      </w:r>
    </w:p>
    <w:p>
      <w:pPr>
        <w:pStyle w:val="BodyText"/>
      </w:pPr>
      <w:r>
        <w:t xml:space="preserve">The scope of "covered materials" is explicitly defined to include:</w:t>
      </w:r>
    </w:p>
    <w:p>
      <w:pPr>
        <w:pStyle w:val="Compact"/>
        <w:numPr>
          <w:ilvl w:val="0"/>
          <w:numId w:val="1001"/>
        </w:numPr>
      </w:pPr>
      <w:r>
        <w:t xml:space="preserve">Samarium-cobalt (SmCo) magnets</w:t>
      </w:r>
    </w:p>
    <w:p>
      <w:pPr>
        <w:pStyle w:val="Compact"/>
        <w:numPr>
          <w:ilvl w:val="0"/>
          <w:numId w:val="1001"/>
        </w:numPr>
      </w:pPr>
      <w:r>
        <w:t xml:space="preserve">Neodymium-iron-boron (NdFeB) magnets</w:t>
      </w:r>
    </w:p>
    <w:p>
      <w:pPr>
        <w:pStyle w:val="Compact"/>
        <w:numPr>
          <w:ilvl w:val="0"/>
          <w:numId w:val="1001"/>
        </w:numPr>
      </w:pPr>
      <w:r>
        <w:t xml:space="preserve">Tantalum metals and alloys</w:t>
      </w:r>
    </w:p>
    <w:p>
      <w:pPr>
        <w:pStyle w:val="Compact"/>
        <w:numPr>
          <w:ilvl w:val="0"/>
          <w:numId w:val="1001"/>
        </w:numPr>
      </w:pPr>
      <w:r>
        <w:t xml:space="preserve">Tungsten metal powder</w:t>
      </w:r>
    </w:p>
    <w:p>
      <w:pPr>
        <w:pStyle w:val="Compact"/>
        <w:numPr>
          <w:ilvl w:val="0"/>
          <w:numId w:val="1001"/>
        </w:numPr>
      </w:pPr>
      <w:r>
        <w:t xml:space="preserve">Tungsten heavy alloy, including any finished or semi-finished components containing it</w:t>
      </w:r>
    </w:p>
    <w:p>
      <w:pPr>
        <w:pStyle w:val="FirstParagraph"/>
      </w:pPr>
      <w:r>
        <w:t xml:space="preserve">This framework is a direct response to national security concerns regarding supply chain vulnerabilities, particularly the concentration of rare earth mining and processing in China.</w:t>
      </w:r>
    </w:p>
    <w:bookmarkEnd w:id="20"/>
    <w:bookmarkStart w:id="21" w:name="Xdb3d7b02d3b591a166e3cf22ad379fd124addbd"/>
    <w:p>
      <w:pPr>
        <w:pStyle w:val="Heading2"/>
      </w:pPr>
      <w:r>
        <w:t xml:space="preserve">Current Requirements and the 2027 Expanded Prohibition</w:t>
      </w:r>
    </w:p>
    <w:p>
      <w:pPr>
        <w:pStyle w:val="FirstParagraph"/>
      </w:pPr>
      <w:r>
        <w:t xml:space="preserve">The DFARS restrictions are being implemented in a phased approach, with a significant expansion of scope scheduled for January 1, 2027.</w:t>
      </w:r>
    </w:p>
    <w:p>
      <w:pPr>
        <w:pStyle w:val="BodyText"/>
      </w:pPr>
      <w:r>
        <w:rPr>
          <w:b/>
          <w:bCs/>
        </w:rPr>
        <w:t xml:space="preserve">Current Rules (Effective through December 31, 2026):</w:t>
      </w:r>
      <w:r>
        <w:t xml:space="preserve"> </w:t>
      </w:r>
      <w:r>
        <w:t xml:space="preserve">Through the end of 2026, the prohibition focuses on the final stages of metal and magnet production. Contractors are barred from delivering covered materials that were "melted or produced" in a covered country. For magnets, this specifically includes the melting of constituent elements to form the alloy (e.g., samarium with cobalt) and all subsequent manufacturing steps such as powder formation, pressing, sintering, and magnetization.</w:t>
      </w:r>
    </w:p>
    <w:p>
      <w:pPr>
        <w:pStyle w:val="BodyText"/>
      </w:pPr>
      <w:r>
        <w:rPr>
          <w:b/>
          <w:bCs/>
        </w:rPr>
        <w:t xml:space="preserve">Expanded Prohibition (Effective January 1, 2027):</w:t>
      </w:r>
      <w:r>
        <w:t xml:space="preserve"> </w:t>
      </w:r>
      <w:r>
        <w:t xml:space="preserve">A major shift occurs on January 1, 2027, when the prohibition expands to cover the entire upstream supply chain. From this date, contractors may not deliver any covered material that was "mined, refined, separated, melted, or produced" in a covered country. This change means that even if all magnet manufacturing steps occur in a compliant country, the use of rare earth oxides or metals that were mined or refined in a covered country will render the final product non-compliant. For SmCo and NdFeB magnets, this restriction explicitly includes the entire supply chain from the mining of ore or feedstock through the production of the finished magnet.</w:t>
      </w:r>
    </w:p>
    <w:p>
      <w:pPr>
        <w:pStyle w:val="BodyText"/>
      </w:pPr>
      <w:r>
        <w:t xml:space="preserve">New legislative mandates also require enhanced transparency. The FY2023 NDAA requires contractors to disclose the provenance of permanent magnets containing rare earths, and if unable to do so, they must establish a supply chain tracking system. DOD is developing a corresponding DFARS rule, with a proposed version expected in late 2024.</w:t>
      </w:r>
    </w:p>
    <w:bookmarkEnd w:id="21"/>
    <w:bookmarkStart w:id="22" w:name="nonavailability-determination-procedures"/>
    <w:p>
      <w:pPr>
        <w:pStyle w:val="Heading2"/>
      </w:pPr>
      <w:r>
        <w:t xml:space="preserve">Nonavailability Determination Procedures</w:t>
      </w:r>
    </w:p>
    <w:p>
      <w:pPr>
        <w:pStyle w:val="FirstParagraph"/>
      </w:pPr>
      <w:r>
        <w:t xml:space="preserve">The DFARS provides a waiver mechanism for instances where compliant materials are not available. This process, detailed in DFARS 225.7018-4, allows for "nonavailability determinations," which can be issued on an individual or class basis.</w:t>
      </w:r>
    </w:p>
    <w:p>
      <w:pPr>
        <w:pStyle w:val="Compact"/>
        <w:numPr>
          <w:ilvl w:val="0"/>
          <w:numId w:val="1002"/>
        </w:numPr>
      </w:pPr>
      <w:r>
        <w:rPr>
          <w:b/>
          <w:bCs/>
        </w:rPr>
        <w:t xml:space="preserve">Individual Determinations:</w:t>
      </w:r>
      <w:r>
        <w:t xml:space="preserve"> </w:t>
      </w:r>
      <w:r>
        <w:t xml:space="preserve">These apply to a single contract and are authorized by the head of the contracting activity. The request must include supporting documentation and a written certification from the requiring activity that explains with specificity why alternatives are unacceptable. Templates and procedural guidance are available in the PGI.</w:t>
      </w:r>
    </w:p>
    <w:p>
      <w:pPr>
        <w:pStyle w:val="Compact"/>
        <w:numPr>
          <w:ilvl w:val="0"/>
          <w:numId w:val="1002"/>
        </w:numPr>
      </w:pPr>
      <w:r>
        <w:rPr>
          <w:b/>
          <w:bCs/>
        </w:rPr>
        <w:t xml:space="preserve">Class Determinations:</w:t>
      </w:r>
      <w:r>
        <w:t xml:space="preserve"> </w:t>
      </w:r>
      <w:r>
        <w:t xml:space="preserve">These apply to more than one contract and require the approval of the Under Secretary of Defense for Acquisition and Sustainment (USD(A&amp;S)). Before issuing a class determination, the USD(A&amp;S) must publish a notice of intent on SAM.gov at least 30 days prior, soliciting information from interested parties on the availability of compliant materials.</w:t>
      </w:r>
    </w:p>
    <w:p>
      <w:pPr>
        <w:pStyle w:val="FirstParagraph"/>
      </w:pPr>
      <w:r>
        <w:t xml:space="preserve">In all cases, the nonavailability determination can be made if compliant materials of satisfactory quality and quantity, in the required form, cannot be procured as needed at a reasonable price.</w:t>
      </w:r>
    </w:p>
    <w:bookmarkEnd w:id="22"/>
    <w:bookmarkStart w:id="23" w:name="Xc0e3225b7665a4ed40460f762862875646d1b07"/>
    <w:p>
      <w:pPr>
        <w:pStyle w:val="Heading2"/>
      </w:pPr>
      <w:r>
        <w:t xml:space="preserve">Recycled NdFeB Feedstock as a Compliant Pathway</w:t>
      </w:r>
    </w:p>
    <w:p>
      <w:pPr>
        <w:pStyle w:val="FirstParagraph"/>
      </w:pPr>
      <w:r>
        <w:t xml:space="preserve">The DFARS framework provides a specific and significant exception for recycled materials, creating a viable compliance pathway for NdFeB magnets. A neodymium-iron-boron magnet manufactured from recycled material is exempt from the sourcing restrictions, provided that both the</w:t>
      </w:r>
      <w:r>
        <w:t xml:space="preserve"> </w:t>
      </w:r>
      <w:r>
        <w:rPr>
          <w:b/>
          <w:bCs/>
        </w:rPr>
        <w:t xml:space="preserve">milling of the recycled material and the sintering of the final magnet take place in the United States</w:t>
      </w:r>
      <w:r>
        <w:t xml:space="preserve">.</w:t>
      </w:r>
    </w:p>
    <w:p>
      <w:pPr>
        <w:pStyle w:val="BodyText"/>
      </w:pPr>
      <w:r>
        <w:t xml:space="preserve">This statutory exception is a key enabler for the emerging domestic rare earth recycling industry. Companies are leveraging this provision to create DFARS-compliant feedstock for the defense industrial base.</w:t>
      </w:r>
    </w:p>
    <w:p>
      <w:pPr>
        <w:pStyle w:val="BodyText"/>
      </w:pPr>
      <w:r>
        <w:t xml:space="preserve">Several companies are actively pursuing this pathway:</w:t>
      </w:r>
    </w:p>
    <w:p>
      <w:pPr>
        <w:pStyle w:val="Compact"/>
        <w:numPr>
          <w:ilvl w:val="0"/>
          <w:numId w:val="1003"/>
        </w:numPr>
      </w:pPr>
      <w:r>
        <w:rPr>
          <w:b/>
          <w:bCs/>
        </w:rPr>
        <w:t xml:space="preserve">Noveon Magnetics (formerly Urban Mining Company):</w:t>
      </w:r>
      <w:r>
        <w:t xml:space="preserve"> </w:t>
      </w:r>
      <w:r>
        <w:t xml:space="preserve">Explicitly markets its NdFeB magnets, produced from recycled feedstock at its Texas facility, as DFARS-compliant. The company's patented Magnet-to-Magnet (M2M) process reuses end-of-life magnets, bypassing the mining and refining steps that are often tied to non-compliant sources.</w:t>
      </w:r>
    </w:p>
    <w:p>
      <w:pPr>
        <w:pStyle w:val="Compact"/>
        <w:numPr>
          <w:ilvl w:val="0"/>
          <w:numId w:val="1003"/>
        </w:numPr>
      </w:pPr>
      <w:r>
        <w:rPr>
          <w:b/>
          <w:bCs/>
        </w:rPr>
        <w:t xml:space="preserve">Cyclic Materials:</w:t>
      </w:r>
      <w:r>
        <w:t xml:space="preserve"> </w:t>
      </w:r>
      <w:r>
        <w:t xml:space="preserve">This company is scaling up its capacity to produce recycled mixed rare earth oxides (rMREO) and has established a partnership with magnet manufacturer Vacuumschmelze (VAC) to recycle 100% of the manufacturing scrap from VAC's new U.S. facility. This creates a closed-loop, domestic source of feedstock.</w:t>
      </w:r>
    </w:p>
    <w:p>
      <w:pPr>
        <w:pStyle w:val="Compact"/>
        <w:numPr>
          <w:ilvl w:val="0"/>
          <w:numId w:val="1003"/>
        </w:numPr>
      </w:pPr>
      <w:r>
        <w:rPr>
          <w:b/>
          <w:bCs/>
        </w:rPr>
        <w:t xml:space="preserve">HyProMag USA:</w:t>
      </w:r>
      <w:r>
        <w:t xml:space="preserve"> </w:t>
      </w:r>
      <w:r>
        <w:t xml:space="preserve">This venture is developing a facility to produce DFARS-compliant recycled NdFeB magnets using a hydrogen-based recycling process, with plans to begin full operations by 2027.</w:t>
      </w:r>
    </w:p>
    <w:p>
      <w:pPr>
        <w:pStyle w:val="Compact"/>
        <w:numPr>
          <w:ilvl w:val="0"/>
          <w:numId w:val="1003"/>
        </w:numPr>
      </w:pPr>
      <w:r>
        <w:rPr>
          <w:b/>
          <w:bCs/>
        </w:rPr>
        <w:t xml:space="preserve">ReElement Technologies:</w:t>
      </w:r>
      <w:r>
        <w:t xml:space="preserve"> </w:t>
      </w:r>
      <w:r>
        <w:t xml:space="preserve">This company processes recycled magnets and provides traceability tokens to support contractor compliance, positioning its refined oxides as a domestic feedstock solution.</w:t>
      </w:r>
    </w:p>
    <w:p>
      <w:pPr>
        <w:pStyle w:val="FirstParagraph"/>
      </w:pPr>
      <w:r>
        <w:t xml:space="preserve">The broader Buy American Act framework further supports this, as one of its implementing regulations considers scrap that is "generated, collected, and prepared for processing in the United States" to be domestic material.</w:t>
      </w:r>
    </w:p>
    <w:bookmarkEnd w:id="23"/>
    <w:bookmarkStart w:id="24" w:name="domestic-production-capacity-development"/>
    <w:p>
      <w:pPr>
        <w:pStyle w:val="Heading2"/>
      </w:pPr>
      <w:r>
        <w:t xml:space="preserve">Domestic Production Capacity Development</w:t>
      </w:r>
    </w:p>
    <w:p>
      <w:pPr>
        <w:pStyle w:val="FirstParagraph"/>
      </w:pPr>
      <w:r>
        <w:t xml:space="preserve">To address the systemic reliance on foreign sources, the DoD has launched a major initiative to reestablish a domestic "mine-to-magnet" supply chain. Since 2020, DoD has invested over $439 million through programs like the Manufacturing Capability Expansion and Investment Prioritization (MCEIP) directorate to fund every critical stage of the supply chain, from sourcing and separation to metallization, alloying, and magnet manufacturing. The stated goal is to create a sustainable supply chain capable of supporting all U.S. defense requirements by 2027.</w:t>
      </w:r>
    </w:p>
    <w:p>
      <w:pPr>
        <w:pStyle w:val="BodyText"/>
      </w:pPr>
      <w:r>
        <w:t xml:space="preserve">Key vendors and investments include:</w:t>
      </w:r>
    </w:p>
    <w:p>
      <w:pPr>
        <w:pStyle w:val="Compact"/>
        <w:numPr>
          <w:ilvl w:val="0"/>
          <w:numId w:val="1004"/>
        </w:numPr>
      </w:pPr>
      <w:r>
        <w:rPr>
          <w:b/>
          <w:bCs/>
        </w:rPr>
        <w:t xml:space="preserve">MP Materials:</w:t>
      </w:r>
      <w:r>
        <w:t xml:space="preserve"> </w:t>
      </w:r>
      <w:r>
        <w:t xml:space="preserve">As the operator of the only active rare earth mine in the U.S. at Mountain Pass, California, MP Materials has received significant DoD support, including a $400 million equity investment and a $150 million loan. This funding supports the expansion of its Texas magnetics facility and the construction of a new 10,000-metric-ton-per-year plant, with DoD committing to a 10-year offtake agreement and a price floor for NdPr products.</w:t>
      </w:r>
    </w:p>
    <w:p>
      <w:pPr>
        <w:pStyle w:val="Compact"/>
        <w:numPr>
          <w:ilvl w:val="0"/>
          <w:numId w:val="1004"/>
        </w:numPr>
      </w:pPr>
      <w:r>
        <w:rPr>
          <w:b/>
          <w:bCs/>
        </w:rPr>
        <w:t xml:space="preserve">Lynas USA, LLC:</w:t>
      </w:r>
      <w:r>
        <w:t xml:space="preserve"> </w:t>
      </w:r>
      <w:r>
        <w:t xml:space="preserve">Awarded a combined $288 million to establish a second domestic, commercial-scale rare earth oxide production facility by 2026.</w:t>
      </w:r>
    </w:p>
    <w:p>
      <w:pPr>
        <w:pStyle w:val="Compact"/>
        <w:numPr>
          <w:ilvl w:val="0"/>
          <w:numId w:val="1004"/>
        </w:numPr>
      </w:pPr>
      <w:r>
        <w:rPr>
          <w:b/>
          <w:bCs/>
        </w:rPr>
        <w:t xml:space="preserve">Noveon Magnetics:</w:t>
      </w:r>
      <w:r>
        <w:t xml:space="preserve"> </w:t>
      </w:r>
      <w:r>
        <w:t xml:space="preserve">Received over $35 million in DoD awards to support the commercialization of its recycled magnet production facility in Texas, which has a stated capacity of 2,000 metric tons per year.</w:t>
      </w:r>
    </w:p>
    <w:p>
      <w:pPr>
        <w:pStyle w:val="Compact"/>
        <w:numPr>
          <w:ilvl w:val="0"/>
          <w:numId w:val="1004"/>
        </w:numPr>
      </w:pPr>
      <w:r>
        <w:rPr>
          <w:b/>
          <w:bCs/>
        </w:rPr>
        <w:t xml:space="preserve">E-VAC Magnetics (a subsidiary of VAC):</w:t>
      </w:r>
      <w:r>
        <w:t xml:space="preserve"> </w:t>
      </w:r>
      <w:r>
        <w:t xml:space="preserve">Awarded $94.1 million to establish a commercial-scale rare earth magnet manufacturing plant, expected to be completed by 2025.</w:t>
      </w:r>
    </w:p>
    <w:p>
      <w:pPr>
        <w:pStyle w:val="FirstParagraph"/>
      </w:pPr>
      <w:r>
        <w:t xml:space="preserve">These investments are intended to create a fully domestic ecosystem, ensuring that every critical node—from mining ore to producing finished magnets—can occur within the United States.</w:t>
      </w:r>
    </w:p>
    <w:bookmarkEnd w:id="24"/>
    <w:bookmarkStart w:id="25" w:name="gao-audit-findings-and-compliance-gaps"/>
    <w:p>
      <w:pPr>
        <w:pStyle w:val="Heading2"/>
      </w:pPr>
      <w:r>
        <w:t xml:space="preserve">GAO Audit Findings and Compliance Gaps</w:t>
      </w:r>
    </w:p>
    <w:p>
      <w:pPr>
        <w:pStyle w:val="FirstParagraph"/>
      </w:pPr>
      <w:r>
        <w:t xml:space="preserve">The Government Accountability Office (GAO) has repeatedly highlighted significant risks in the DoD's rare earth supply chain and identified gaps in its compliance and mitigation efforts. A central finding is the high potential for harm to national security stemming from overreliance on foreign sources, particularly China, for mining and processing.</w:t>
      </w:r>
    </w:p>
    <w:p>
      <w:pPr>
        <w:pStyle w:val="BodyText"/>
      </w:pPr>
      <w:r>
        <w:t xml:space="preserve">Key compliance gaps identified by GAO include:</w:t>
      </w:r>
    </w:p>
    <w:p>
      <w:pPr>
        <w:pStyle w:val="Compact"/>
        <w:numPr>
          <w:ilvl w:val="0"/>
          <w:numId w:val="1005"/>
        </w:numPr>
      </w:pPr>
      <w:r>
        <w:rPr>
          <w:b/>
          <w:bCs/>
        </w:rPr>
        <w:t xml:space="preserve">Lack of Implementation:</w:t>
      </w:r>
      <w:r>
        <w:t xml:space="preserve"> </w:t>
      </w:r>
      <w:r>
        <w:t xml:space="preserve">As of 2024, the DoD had not yet established clear policies or guidance to implement the statutory restriction on selling materials from the National Defense Stockpile to adversary nations.</w:t>
      </w:r>
    </w:p>
    <w:p>
      <w:pPr>
        <w:pStyle w:val="Compact"/>
        <w:numPr>
          <w:ilvl w:val="0"/>
          <w:numId w:val="1005"/>
        </w:numPr>
      </w:pPr>
      <w:r>
        <w:rPr>
          <w:b/>
          <w:bCs/>
        </w:rPr>
        <w:t xml:space="preserve">Limited Visibility:</w:t>
      </w:r>
      <w:r>
        <w:t xml:space="preserve"> </w:t>
      </w:r>
      <w:r>
        <w:t xml:space="preserve">The DoD has limited insight into buyers' affiliations with adversary nations, often relying on "buyer self-attestation" for location and end-use information, a significant compliance vulnerability.</w:t>
      </w:r>
    </w:p>
    <w:p>
      <w:pPr>
        <w:pStyle w:val="Compact"/>
        <w:numPr>
          <w:ilvl w:val="0"/>
          <w:numId w:val="1005"/>
        </w:numPr>
      </w:pPr>
      <w:r>
        <w:rPr>
          <w:b/>
          <w:bCs/>
        </w:rPr>
        <w:t xml:space="preserve">Fragmented Approach:</w:t>
      </w:r>
      <w:r>
        <w:t xml:space="preserve"> </w:t>
      </w:r>
      <w:r>
        <w:t xml:space="preserve">Past GAO reports found that the DoD's approach to identifying and mitigating risks was fragmented across different offices and that the department lacked the data to model its own requirements for over 40% of its designated strategic materials.</w:t>
      </w:r>
    </w:p>
    <w:p>
      <w:pPr>
        <w:pStyle w:val="FirstParagraph"/>
      </w:pPr>
      <w:r>
        <w:t xml:space="preserve">In response, the GAO has recommended that the DoD establish policies to prevent prohibited sales from the stockpile and enhance its methods for verifying buyer information. The DoD is also in the process of developing a new DFARS rule that will require contractors to disclose the provenance of permanent magnets, a direct response to legislative mandates aimed at improving supply chain transparency.</w:t>
      </w:r>
    </w:p>
    <w:bookmarkEnd w:id="25"/>
    <w:bookmarkStart w:id="26" w:name="supplier-compliance-strategies"/>
    <w:p>
      <w:pPr>
        <w:pStyle w:val="Heading2"/>
      </w:pPr>
      <w:r>
        <w:t xml:space="preserve">Supplier Compliance Strategies</w:t>
      </w:r>
    </w:p>
    <w:p>
      <w:pPr>
        <w:pStyle w:val="FirstParagraph"/>
      </w:pPr>
      <w:r>
        <w:t xml:space="preserve">In response to the shifting regulatory landscape, key magnet suppliers to the defense sector are adopting various compliance strategies.</w:t>
      </w:r>
    </w:p>
    <w:p>
      <w:pPr>
        <w:pStyle w:val="Compact"/>
        <w:numPr>
          <w:ilvl w:val="0"/>
          <w:numId w:val="1006"/>
        </w:numPr>
      </w:pPr>
      <w:r>
        <w:rPr>
          <w:b/>
          <w:bCs/>
        </w:rPr>
        <w:t xml:space="preserve">Securing Compliant International Feedstock:</w:t>
      </w:r>
      <w:r>
        <w:t xml:space="preserve"> </w:t>
      </w:r>
      <w:r>
        <w:t xml:space="preserve">Some suppliers are establishing supply chains that source raw materials and semi-finished magnet blocks from allied or neutral countries. Arnold Magnetic Technologies, for instance, established a supply chain with a German NdFeB supplier to provide blocks for final machining and finishing in the United States. Similarly, a consortium including Electron Energy Corporation (EEC) and Dexter Magnetic Technologies announced they are actively working with compliant global suppliers outside of China.</w:t>
      </w:r>
    </w:p>
    <w:p>
      <w:pPr>
        <w:pStyle w:val="Compact"/>
        <w:numPr>
          <w:ilvl w:val="0"/>
          <w:numId w:val="1006"/>
        </w:numPr>
      </w:pPr>
      <w:r>
        <w:rPr>
          <w:b/>
          <w:bCs/>
        </w:rPr>
        <w:t xml:space="preserve">Domestic Vertical Integration:</w:t>
      </w:r>
      <w:r>
        <w:t xml:space="preserve"> </w:t>
      </w:r>
      <w:r>
        <w:t xml:space="preserve">The most robust strategy involves creating a fully domestic supply chain. The partnership between MP Materials and the DoD is the prime example, aiming for a complete "mine-to-magnet" ecosystem within the U.S..</w:t>
      </w:r>
    </w:p>
    <w:p>
      <w:pPr>
        <w:pStyle w:val="Compact"/>
        <w:numPr>
          <w:ilvl w:val="0"/>
          <w:numId w:val="1006"/>
        </w:numPr>
      </w:pPr>
      <w:r>
        <w:rPr>
          <w:b/>
          <w:bCs/>
        </w:rPr>
        <w:t xml:space="preserve">Leveraging Recycled Feedstock:</w:t>
      </w:r>
      <w:r>
        <w:t xml:space="preserve"> </w:t>
      </w:r>
      <w:r>
        <w:t xml:space="preserve">As a direct pathway to DFARS compliance, companies are heavily investing in recycling. Noveon Magnetics bases its entire business model on producing DFARS-compliant magnets from recycled feedstock in its Texas facility. The partnership between Vacuumschmelze (VAC) and Cyclic Materials to recycle all of VAC's manufacturing scrap from its new South Carolina plant is another key example, creating a closed-loop system for a major new domestic producer.</w:t>
      </w:r>
    </w:p>
    <w:p>
      <w:pPr>
        <w:pStyle w:val="Compact"/>
        <w:numPr>
          <w:ilvl w:val="0"/>
          <w:numId w:val="1006"/>
        </w:numPr>
      </w:pPr>
      <w:r>
        <w:rPr>
          <w:b/>
          <w:bCs/>
        </w:rPr>
        <w:t xml:space="preserve">Proactive Compliance and Certification:</w:t>
      </w:r>
      <w:r>
        <w:t xml:space="preserve"> </w:t>
      </w:r>
      <w:r>
        <w:t xml:space="preserve">Companies are proactively working towards the 2027 deadline. Arnold Magnetic Technologies states it is already fully compliant for its SmCo magnet applications. The EEC-led group is targeting mid-2026 for full DFARS 252.225-7052 compliance across its portfolio.</w:t>
      </w:r>
    </w:p>
    <w:bookmarkEnd w:id="26"/>
    <w:bookmarkStart w:id="27" w:name="implications-and-recommendations"/>
    <w:p>
      <w:pPr>
        <w:pStyle w:val="Heading2"/>
      </w:pPr>
      <w:r>
        <w:t xml:space="preserve">Implications and Recommendations</w:t>
      </w:r>
    </w:p>
    <w:p>
      <w:pPr>
        <w:pStyle w:val="FirstParagraph"/>
      </w:pPr>
      <w:r>
        <w:t xml:space="preserve">The transition to a fully DFARS-compliant rare earth magnet supply chain by 2027 presents significant risks and opportunities for the defense industrial base. Defense prime contractors face the risk of supply disruptions and non-compliance if their subcontractors fail to secure compliant magnet sources. A proactive approach to supply chain management is essential, and contractors should already be engaging with their magnet suppliers to verify sourcing and map their transition plans for the 2027 deadline.</w:t>
      </w:r>
    </w:p>
    <w:p>
      <w:pPr>
        <w:pStyle w:val="BodyText"/>
      </w:pPr>
      <w:r>
        <w:t xml:space="preserve">The role of recycled magnets is paramount in closing the compliance gap. The explicit DFARS exception for NdFeB magnets milled and sintered in the U.S. from recycled feedstock provides the most direct and near-term pathway for establishing compliant domestic production without reliance on foreign mining operations. This creates a clear market opportunity for companies specializing in rare earth recovery from scrap and end-of-life products.</w:t>
      </w:r>
    </w:p>
    <w:p>
      <w:pPr>
        <w:pStyle w:val="BodyText"/>
      </w:pPr>
      <w:r>
        <w:t xml:space="preserve">For a wastewater treatment technology provider, this industrial shift presents several opportunities. The re-shoring of rare earth refining and recycling, particularly through hydrometallurgical processes, will generate new and complex industrial wastewater streams. These streams will contain dissolved rare earth elements, various acids, and other chemical reagents used in the leaching and separation processes. Technology providers who can offer efficient and cost-effective solutions for treating this wastewater—potentially including the recovery of valuable rare earth elements from the waste stream itself—will be well-positioned to serve this growing domestic industry. Key areas of opportunity include treating acidic waste streams, selectively precipitating or extracting rare earths from effluent, and managing the disposal of residual chemical sludge. These processes are essential for both environmental compliance and the economic viability of domestic rare earth recycling operations.</w:t>
      </w:r>
    </w:p>
    <w:p>
      <w:pPr>
        <w:pStyle w:val="BodyText"/>
      </w:pPr>
      <w:r>
        <w:t xml:space="preserve">Finally, the nonavailability determination process will likely be a critical tool during the transition period. Contractors and suppliers facing unavoidable gaps in compliant sourcing should begin aggregating the necessary data on market availability, technical requirements, and cost to support potential waiver requests through the procedures outlined in DFARS 225.7018-4.</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2026-02-12T17:54:32Z</dcterms:created>
  <dcterms:modified xsi:type="dcterms:W3CDTF">2026-02-12T17:54:32Z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