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afc5bfa0ae2108a46f1bc5b9ae219e8cb6cd21e"/>
    <w:p>
      <w:pPr>
        <w:pStyle w:val="Heading1"/>
      </w:pPr>
      <w:r>
        <w:t xml:space="preserve">DFARS Rare Earth Magnet Compliance Timeline: Roadmap for Defense Primes (2024-2028)</w:t>
      </w:r>
    </w:p>
    <w:bookmarkStart w:id="20" w:name="executive-summary"/>
    <w:p>
      <w:pPr>
        <w:pStyle w:val="Heading2"/>
      </w:pPr>
      <w:r>
        <w:t xml:space="preserve">Executive summary</w:t>
      </w:r>
    </w:p>
    <w:p>
      <w:pPr>
        <w:pStyle w:val="FirstParagraph"/>
      </w:pPr>
      <w:r>
        <w:t xml:space="preserve">January 1, 2027 is the inflection point when DFARS restrictions for samarium-cobalt (SmCo) and neodymium-iron-boron (NdFeB) magnets expand upstream to cover the full supply chain (mined, refined, separated, melted, or produced) in covered countries, not just melting/production stages. Because qualification, re-sourcing, and documentation updates typically take multiple contracting cycles, multiple industry sources urge primes to secure DFARS-compliant magnet supply chains in advance of the statutory deadline, with some suppliers publicly targeting “mid-2026” readiness as a practical cutover point.</w:t>
      </w:r>
    </w:p>
    <w:p>
      <w:pPr>
        <w:pStyle w:val="BodyText"/>
      </w:pPr>
      <w:r>
        <w:t xml:space="preserve">The May 30, 2024 final rule is already effective and establishes the staged requirements and the governing contract clause (DFARS 252.225-7052). Between now and the end of 2026, the restriction is narrower (focused on material melted/produced in covered countries), but it still requires primes to ensure traceability through alloying/melting and subsequent magnet manufacturing steps (powder formation, pressing, sintering/bonding, magnetization) for SmCo and NdFeB magnets.</w:t>
      </w:r>
    </w:p>
    <w:p>
      <w:pPr>
        <w:pStyle w:val="BodyText"/>
      </w:pPr>
      <w:r>
        <w:t xml:space="preserve">Domestic and allied capacity is expanding, but the “mine-to-magnet” buildout is still in progress and includes schedule and permitting risks; DoD itself has stated that establishing new domestic rare earth sources can take “a decade or longer.” The roadmap below therefore emphasizes (1) near-term supply chain auditing and provenance tracking, (2) accelerated second-source qualification, (3) use of the recycled NdFeB exception where applicable (U.S. milling + U.S. sintering), and (4) early preparation of nonavailability-determination packages when compliant supply cannot be ensured by late 2026.</w:t>
      </w:r>
    </w:p>
    <w:bookmarkEnd w:id="20"/>
    <w:bookmarkStart w:id="26" w:name="timeline"/>
    <w:p>
      <w:pPr>
        <w:pStyle w:val="Heading2"/>
      </w:pPr>
      <w:r>
        <w:t xml:space="preserve">Timeline</w:t>
      </w:r>
    </w:p>
    <w:p>
      <w:pPr>
        <w:pStyle w:val="FirstParagraph"/>
      </w:pPr>
      <w:r>
        <w:t xml:space="preserve">The timeline below consolidates binding regulatory milestones, expected provenance disclosure implementation windows, and major domestic capacity events relevant to magnet sourcing decisions for defense primes.</w:t>
      </w:r>
    </w:p>
    <w:bookmarkStart w:id="21" w:name="Xe79a3af2634de6635e59c9404d251b3955d39f9"/>
    <w:p>
      <w:pPr>
        <w:pStyle w:val="Heading3"/>
      </w:pPr>
      <w:r>
        <w:t xml:space="preserve">2024</w:t>
      </w:r>
    </w:p>
    <w:p>
      <w:pPr>
        <w:pStyle w:val="FirstParagraph"/>
      </w:pPr>
      <w:r>
        <w:t xml:space="preserve">On May 30, 2024, DoD issued and made effective a final rule that amended DFARS 225.7018 and the associated clause DFARS 252.225-7052 (Restriction on the Acquisition of Certain Magnets, Tantalum, and Tungsten). The final rule implements a staged restriction: through December 31, 2026, contractors may not deliver covered material “melted or produced” in covered countries; beginning January 1, 2027 the restriction expands to materials “mined, refined, separated, melted, or produced” in covered countries (the expansion date was extended to January 1, 2027 by NDAA FY2024 Section 854).</w:t>
      </w:r>
    </w:p>
    <w:p>
      <w:pPr>
        <w:pStyle w:val="BodyText"/>
      </w:pPr>
      <w:r>
        <w:t xml:space="preserve">GAO reports that DoD completed rulemaking for the revised prohibition in May 2024, but that separate provenance/provenance-disclosure rulemaking for permanent magnets was still developing, with a DoD expectation (as of the GAO report) to publish a proposed DFARS rule for public comment in October 2024.</w:t>
      </w:r>
    </w:p>
    <w:bookmarkEnd w:id="21"/>
    <w:bookmarkStart w:id="22" w:name="X04be89dd9e070ecb080b9b759e5be29ec24881b"/>
    <w:p>
      <w:pPr>
        <w:pStyle w:val="Heading3"/>
      </w:pPr>
      <w:r>
        <w:t xml:space="preserve">2025</w:t>
      </w:r>
    </w:p>
    <w:p>
      <w:pPr>
        <w:pStyle w:val="FirstParagraph"/>
      </w:pPr>
      <w:r>
        <w:t xml:space="preserve">Regulatory implementation expectations begin to tighten in 2025. GAO describes procurement regulation implementation (including magnet source disclosure requirements) as expected in the 2025–2027 window, and notes that the statutory effective date for the new disclosure requirement is “not earlier than June 2025.” GAO further notes that if a contractor cannot make the required disclosure, it will be required to establish a supply chain tracking system to make the disclosure “to the fullest extent possible.”</w:t>
      </w:r>
    </w:p>
    <w:p>
      <w:pPr>
        <w:pStyle w:val="BodyText"/>
      </w:pPr>
      <w:r>
        <w:t xml:space="preserve">In parallel, domestic magnet capacity milestones reported in public sources indicate that new U.S. production is starting to come online. MP Materials reported (Jan 22, 2025) that commercial NdPr metal production was already online, trial production of sintered NdFeB magnets was underway, first deliveries were on track for year-end, and the facility targeted ~1,000 metric tons/year of finished magnets with a gradual ramp beginning in late 2025.</w:t>
      </w:r>
    </w:p>
    <w:p>
      <w:pPr>
        <w:pStyle w:val="BodyText"/>
      </w:pPr>
      <w:r>
        <w:t xml:space="preserve">For additional U.S. capacity, DoD’s ManTech reporting indicates that (via MCEIP awards) E-VAC Magnetics is expected to establish commercial-scale rare-earth magnet manufacturing capability by 2025 (award value $94.1 million), and that Noveon Magnetics has established a rare earth magnet manufacturing facility in San Marcos, Texas (award value $28.8 million).</w:t>
      </w:r>
    </w:p>
    <w:bookmarkEnd w:id="22"/>
    <w:bookmarkStart w:id="23" w:name="Xee655773d856fb038536adcfd6472fc7543463e"/>
    <w:p>
      <w:pPr>
        <w:pStyle w:val="Heading3"/>
      </w:pPr>
      <w:r>
        <w:t xml:space="preserve">2026</w:t>
      </w:r>
    </w:p>
    <w:p>
      <w:pPr>
        <w:pStyle w:val="FirstParagraph"/>
      </w:pPr>
      <w:r>
        <w:t xml:space="preserve">2026 is the “execution year” for supplier transitions under the DFARS staged approach, with multiple sources recommending completion of alternative sourcing and qualification actions before the end of 2026 to avoid a delivery cliff in 2027.</w:t>
      </w:r>
    </w:p>
    <w:p>
      <w:pPr>
        <w:pStyle w:val="BodyText"/>
      </w:pPr>
      <w:r>
        <w:t xml:space="preserve">Several supplier-side milestones cluster around 2026. Arnold Magnetic Technologies states that DFARS updates take effect January 1, 2027 and that it aims to achieve compliance by mid-2026. Dexter Magnetic Technologies, Magnetic Component Engineering, and Electron Energy Corporation likewise describe a joint effort to achieve DFARS 252.225-7052 compliance for NdFeB and SmCo magnets by mid-2026, ahead of the January 1, 2027 deadline, including work with compliant global suppliers to source rare earth materials.</w:t>
      </w:r>
    </w:p>
    <w:p>
      <w:pPr>
        <w:pStyle w:val="BodyText"/>
      </w:pPr>
      <w:r>
        <w:t xml:space="preserve">On the production side, eVAC Magnetics reports that its Sumter, South Carolina facility opened in fall 2025 and will “quickly scale” to 2,000 metric tons/year by the first quarter of 2026, with stated ability to scale up further in later years; the same statement also notes that the Sumter facility sources NdPr feedstock from MP Materials’ Mountain Pass mine through a strategic partnership. Separately, MP Materials’ reporting indicates commissioning of a heavy rare earth separation capability targeted for mid-2026, with a Dy/Tb circuit nameplate capacity of 200 MT/year (within a facility designed to process ~3,000 MT/year of feedstock) intended to support planned production of 10,000 MT/year of high-performance NdFeB magnets.</w:t>
      </w:r>
    </w:p>
    <w:bookmarkEnd w:id="23"/>
    <w:bookmarkStart w:id="24" w:name="X4e0cfdcb9cb9a94dabbe7806d529ae6b808d7d6"/>
    <w:p>
      <w:pPr>
        <w:pStyle w:val="Heading3"/>
      </w:pPr>
      <w:r>
        <w:t xml:space="preserve">2027</w:t>
      </w:r>
    </w:p>
    <w:p>
      <w:pPr>
        <w:pStyle w:val="FirstParagraph"/>
      </w:pPr>
      <w:r>
        <w:t xml:space="preserve">January 1, 2027 is the binding compliance deadline for the expanded prohibition: contractors “shall not deliver” covered material mined, refined, separated, melted, or produced in any covered country, or end items manufactured in any covered country that contain a covered material. For SmCo magnets, DFARS explicitly states that, effective January 1, 2027, the restriction includes the entire supply chain from mining/production of cobalt and samarium ore or feedstock (including recycled material) through production of finished magnets. For NdFeB magnets, DFARS explicitly states that, effective January 1, 2027, the restriction includes the entire supply chain from mining of neodymium, iron, and boron through production of finished magnets.</w:t>
      </w:r>
    </w:p>
    <w:p>
      <w:pPr>
        <w:pStyle w:val="BodyText"/>
      </w:pPr>
      <w:r>
        <w:t xml:space="preserve">The expanded rule also changes how the COTS exception works. Legal commentary notes that, effective January 1, 2027, COTS items will be exempt only if they are less than 50% covered material by weight (not just tungsten), tightening practical compliance requirements for magnet-containing COTS subsystems and assemblies.</w:t>
      </w:r>
    </w:p>
    <w:p>
      <w:pPr>
        <w:pStyle w:val="BodyText"/>
      </w:pPr>
      <w:r>
        <w:t xml:space="preserve">Because compliant supply may not exist in sufficient quality/quantity for specific applications, DFARS provides an exception mechanism via nonavailability determinations. DFARS and its implementing materials describe both individual and class nonavailability determinations under DFARS 225.7018-4 when compliant materials are unavailable. For class determinations, USD(A&amp;S) must issue a public notice of intent at least 30 days prior to issuing the determination.</w:t>
      </w:r>
    </w:p>
    <w:p>
      <w:pPr>
        <w:pStyle w:val="BodyText"/>
      </w:pPr>
      <w:r>
        <w:t xml:space="preserve">Some domestic production expansions are also described as initiating volumes in 2027. MP Materials’ November 2025 presentation describes an expansion of Independence with “initial volumes starting in 2027.”</w:t>
      </w:r>
    </w:p>
    <w:bookmarkEnd w:id="24"/>
    <w:bookmarkStart w:id="25" w:name="X31f6b7d5b29f0d72c8e0add95ac64e7aa6b01d3"/>
    <w:p>
      <w:pPr>
        <w:pStyle w:val="Heading3"/>
      </w:pPr>
      <w:r>
        <w:t xml:space="preserve">2028</w:t>
      </w:r>
    </w:p>
    <w:p>
      <w:pPr>
        <w:pStyle w:val="FirstParagraph"/>
      </w:pPr>
      <w:r>
        <w:t xml:space="preserve">A key late-decade capacity event is MP Materials’ planned second domestic magnet manufacturing facility (“10X Facility”), expected to begin commissioning in 2028; MP states that once the new facility is completed and commissioning begins, its total U.S. rare earth magnet manufacturing capacity will reach an estimated 10,000 metric tons. MP further states that, for 10 years following construction of the 10X Facility, DoD has agreed to ensure that 100% of the magnets produced at the 10X Facility will be purchased by defense and commercial customers, and that DoD has entered into a 10-year price floor commitment of $110/kg for MP’s NdPr products stockpiled or sold.</w:t>
      </w:r>
    </w:p>
    <w:p>
      <w:pPr>
        <w:pStyle w:val="BodyText"/>
      </w:pPr>
      <w:r>
        <w:t xml:space="preserve">However, some non-U.S. but non-China supply chain options may have timelines extending beyond 2027. One analysis of Lynas’ Texas refinery project outlines commissioning beginning in Q4 2027 and commercial production in Q2 2028, with a target to produce 5,000 metric tons/year of magnet-grade NdPr, underscoring that some diversified upstream capacity may arrive after the DFARS 2027 compliance deadline.</w:t>
      </w:r>
    </w:p>
    <w:bookmarkEnd w:id="25"/>
    <w:bookmarkEnd w:id="26"/>
    <w:bookmarkStart w:id="27" w:name="regulatory-milestones"/>
    <w:p>
      <w:pPr>
        <w:pStyle w:val="Heading2"/>
      </w:pPr>
      <w:r>
        <w:t xml:space="preserve">Regulatory milestones</w:t>
      </w:r>
    </w:p>
    <w:p>
      <w:pPr>
        <w:pStyle w:val="FirstParagraph"/>
      </w:pPr>
      <w:r>
        <w:t xml:space="preserve">The table below summarizes the “what changes when” elements that matter most for magnet procurement and supplier qualification.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 or window</w:t>
            </w:r>
          </w:p>
        </w:tc>
        <w:tc>
          <w:tcPr/>
          <w:p>
            <w:pPr>
              <w:pStyle w:val="Compact"/>
            </w:pPr>
            <w:r>
              <w:t xml:space="preserve">What changes</w:t>
            </w:r>
          </w:p>
        </w:tc>
        <w:tc>
          <w:tcPr/>
          <w:p>
            <w:pPr>
              <w:pStyle w:val="Compact"/>
            </w:pPr>
            <w:r>
              <w:t xml:space="preserve">Practical implication for primes</w:t>
            </w:r>
          </w:p>
        </w:tc>
      </w:tr>
      <w:tr>
        <w:tc>
          <w:tcPr/>
          <w:p>
            <w:pPr>
              <w:pStyle w:val="Compact"/>
            </w:pPr>
            <w:r>
              <w:t xml:space="preserve">May 30, 2024</w:t>
            </w:r>
          </w:p>
        </w:tc>
        <w:tc>
          <w:tcPr/>
          <w:p>
            <w:pPr>
              <w:pStyle w:val="Compact"/>
            </w:pPr>
            <w:r>
              <w:t xml:space="preserve">Final rule issued and effective; DFARS clause 252.225-7052 updated.</w:t>
            </w:r>
          </w:p>
        </w:tc>
        <w:tc>
          <w:tcPr/>
          <w:p>
            <w:pPr>
              <w:pStyle w:val="Compact"/>
            </w:pPr>
            <w:r>
              <w:t xml:space="preserve">Treat as “go-live” for contract language updates and internal compliance program mobilization (policies, supplier questionnaires, traceability expectations).</w:t>
            </w:r>
          </w:p>
        </w:tc>
      </w:tr>
      <w:tr>
        <w:tc>
          <w:tcPr/>
          <w:p>
            <w:pPr>
              <w:pStyle w:val="Compact"/>
            </w:pPr>
            <w:r>
              <w:t xml:space="preserve">Through Dec 31, 2026</w:t>
            </w:r>
          </w:p>
        </w:tc>
        <w:tc>
          <w:tcPr/>
          <w:p>
            <w:pPr>
              <w:pStyle w:val="Compact"/>
            </w:pPr>
            <w:r>
              <w:t xml:space="preserve">Prohibition focuses on covered material “melted or produced” in covered countries for deliveries; for SmCo/NdFeB, includes melting and all subsequent phases (powder formation, pressing, sintering/bonding, magnetization).</w:t>
            </w:r>
          </w:p>
        </w:tc>
        <w:tc>
          <w:tcPr/>
          <w:p>
            <w:pPr>
              <w:pStyle w:val="Compact"/>
            </w:pPr>
            <w:r>
              <w:t xml:space="preserve">Immediate focus on traceability through alloying/melting and the magnet-manufacturing chain, even before 2027 upstream expansion.</w:t>
            </w:r>
          </w:p>
        </w:tc>
      </w:tr>
      <w:tr>
        <w:tc>
          <w:tcPr/>
          <w:p>
            <w:pPr>
              <w:pStyle w:val="Compact"/>
            </w:pPr>
            <w:r>
              <w:t xml:space="preserve">Not earlier than June 2025 to 2027</w:t>
            </w:r>
          </w:p>
        </w:tc>
        <w:tc>
          <w:tcPr/>
          <w:p>
            <w:pPr>
              <w:pStyle w:val="Compact"/>
            </w:pPr>
            <w:r>
              <w:t xml:space="preserve">Magnet source disclosure requirements expected to start taking effect between 2025 and 2027; if contractor cannot disclose, it must establish a supply chain tracking system to disclose to fullest extent possible.</w:t>
            </w:r>
          </w:p>
        </w:tc>
        <w:tc>
          <w:tcPr/>
          <w:p>
            <w:pPr>
              <w:pStyle w:val="Compact"/>
            </w:pPr>
            <w:r>
              <w:t xml:space="preserve">Build data systems and supplier flowdown now; don’t assume a manual, late-stage affidavit will be sufficient if disclosures cannot be made.</w:t>
            </w:r>
          </w:p>
        </w:tc>
      </w:tr>
      <w:tr>
        <w:tc>
          <w:tcPr/>
          <w:p>
            <w:pPr>
              <w:pStyle w:val="Compact"/>
            </w:pPr>
            <w:r>
              <w:t xml:space="preserve">Jan 1, 2027</w:t>
            </w:r>
          </w:p>
        </w:tc>
        <w:tc>
          <w:tcPr/>
          <w:p>
            <w:pPr>
              <w:pStyle w:val="Compact"/>
            </w:pPr>
            <w:r>
              <w:t xml:space="preserve">Expanded prohibition covers “mined, refined, separated, melted, or produced” in covered countries; SmCo and NdFeB explicitly defined as covered materials and covered supply chains (SmCo includes recycled feedstock).</w:t>
            </w:r>
          </w:p>
        </w:tc>
        <w:tc>
          <w:tcPr/>
          <w:p>
            <w:pPr>
              <w:pStyle w:val="Compact"/>
            </w:pPr>
            <w:r>
              <w:t xml:space="preserve">Must have compliant sources (or approved nonavailability determination) for upstream feedstock/provenance, not just for final magnet manufacturing location.</w:t>
            </w:r>
          </w:p>
        </w:tc>
      </w:tr>
      <w:tr>
        <w:tc>
          <w:tcPr/>
          <w:p>
            <w:pPr>
              <w:pStyle w:val="Compact"/>
            </w:pPr>
            <w:r>
              <w:t xml:space="preserve">Jan 1, 2027</w:t>
            </w:r>
          </w:p>
        </w:tc>
        <w:tc>
          <w:tcPr/>
          <w:p>
            <w:pPr>
              <w:pStyle w:val="Compact"/>
            </w:pPr>
            <w:r>
              <w:t xml:space="preserve">COTS exemption narrowed; COTS items exempt only if &lt;50% covered material by weight.</w:t>
            </w:r>
          </w:p>
        </w:tc>
        <w:tc>
          <w:tcPr/>
          <w:p>
            <w:pPr>
              <w:pStyle w:val="Compact"/>
            </w:pPr>
            <w:r>
              <w:t xml:space="preserve">Magnet-heavy COTS subsystems may become non-exempt and require the same provenance diligence as non-COTS assemblies.</w:t>
            </w:r>
          </w:p>
        </w:tc>
      </w:tr>
      <w:tr>
        <w:tc>
          <w:tcPr/>
          <w:p>
            <w:pPr>
              <w:pStyle w:val="Compact"/>
            </w:pPr>
            <w:r>
              <w:t xml:space="preserve">Ongoing</w:t>
            </w:r>
          </w:p>
        </w:tc>
        <w:tc>
          <w:tcPr/>
          <w:p>
            <w:pPr>
              <w:pStyle w:val="Compact"/>
            </w:pPr>
            <w:r>
              <w:t xml:space="preserve">Class nonavailability determinations require USD(A&amp;S) approval and a public notice at least 30 days prior; individual determinations can be made by the head of the contracting activity for one contract.</w:t>
            </w:r>
          </w:p>
        </w:tc>
        <w:tc>
          <w:tcPr/>
          <w:p>
            <w:pPr>
              <w:pStyle w:val="Compact"/>
            </w:pPr>
            <w:r>
              <w:t xml:space="preserve">If you anticipate a waiver need for 2027 deliveries, plan backward from the 30-day notice requirement and the time required to assemble market research and supporting analysis.</w:t>
            </w:r>
          </w:p>
        </w:tc>
      </w:tr>
    </w:tbl>
    <w:bookmarkEnd w:id="27"/>
    <w:bookmarkStart w:id="32" w:name="domestic-capacity-coming-online"/>
    <w:p>
      <w:pPr>
        <w:pStyle w:val="Heading2"/>
      </w:pPr>
      <w:r>
        <w:t xml:space="preserve">Domestic capacity coming online</w:t>
      </w:r>
    </w:p>
    <w:p>
      <w:pPr>
        <w:pStyle w:val="FirstParagraph"/>
      </w:pPr>
      <w:r>
        <w:t xml:space="preserve">The capacity timeline below is organized by facility and limited to milestones explicitly reported in the provided sources.</w:t>
      </w:r>
    </w:p>
    <w:bookmarkStart w:id="28" w:name="mp-materials"/>
    <w:p>
      <w:pPr>
        <w:pStyle w:val="Heading3"/>
      </w:pPr>
      <w:r>
        <w:t xml:space="preserve">MP Materials</w:t>
      </w:r>
    </w:p>
    <w:p>
      <w:pPr>
        <w:pStyle w:val="FirstParagraph"/>
      </w:pPr>
      <w:r>
        <w:t xml:space="preserve">MP Materials’ magnetics plans provide a staged domestic capability picture. MP’s Jan 22, 2025 release indicates trial production of automotive-grade sintered NdFeB magnets, first deliveries targeted for year-end, and a gradual production ramp beginning in late 2025 toward ~1,000 metric tons/year of finished magnets. MP’s filings also state the company anticipates manufacturing NdFeB permanent magnets by the end of 2025 and that Independence is designed for ~1,000 MT/year of finished magnets at initial design capacity.</w:t>
      </w:r>
    </w:p>
    <w:p>
      <w:pPr>
        <w:pStyle w:val="BodyText"/>
      </w:pPr>
      <w:r>
        <w:t xml:space="preserve">For heavy rare earths (relevant to high-coercivity/high-temperature NdFeB grades that rely on Dy/Tb), MP reports commissioning a heavy rare earth separation facility at Mountain Pass in mid-2026 and describes a Dy/Tb circuit nameplate capacity of 200 MT/year within a facility designed to process ~3,000 MT/year of feedstock, intended to support planned production of 10,000 MT/year of high-performance NdFeB magnets.</w:t>
      </w:r>
    </w:p>
    <w:p>
      <w:pPr>
        <w:pStyle w:val="BodyText"/>
      </w:pPr>
      <w:r>
        <w:t xml:space="preserve">For larger-scale domestic magnet capacity, MP states it will construct a second U.S. magnet facility (“10X Facility”) expected to begin commissioning in 2028, bringing total U.S. magnet manufacturing capacity to an estimated 10,000 metric tons once completed. MP further states DoD has a 10-year price floor commitment of $110/kg for NdPr products and a 10-year commitment ensuring 100% of magnets produced at the 10X Facility are purchased by defense and commercial customers.</w:t>
      </w:r>
    </w:p>
    <w:bookmarkEnd w:id="28"/>
    <w:bookmarkStart w:id="29" w:name="vac-and-evac-magnetics"/>
    <w:p>
      <w:pPr>
        <w:pStyle w:val="Heading3"/>
      </w:pPr>
      <w:r>
        <w:t xml:space="preserve">VAC and eVAC Magnetics</w:t>
      </w:r>
    </w:p>
    <w:p>
      <w:pPr>
        <w:pStyle w:val="FirstParagraph"/>
      </w:pPr>
      <w:r>
        <w:t xml:space="preserve">eVAC reports that its Sumter, South Carolina magnet manufacturing facility opened in fall 2025 and that it will quickly scale to 2,000 metric tons/year by the first quarter of 2026, with an ability to scale to higher levels in subsequent years. The same announcement states that eVAC’s South Carolina facility sources key raw materials via a strategic partnership with MP Materials, which supplies NdPr feedstock from Mountain Pass, California.</w:t>
      </w:r>
    </w:p>
    <w:bookmarkEnd w:id="29"/>
    <w:bookmarkStart w:id="30" w:name="noveon-magnetics"/>
    <w:p>
      <w:pPr>
        <w:pStyle w:val="Heading3"/>
      </w:pPr>
      <w:r>
        <w:t xml:space="preserve">Noveon Magnetics</w:t>
      </w:r>
    </w:p>
    <w:p>
      <w:pPr>
        <w:pStyle w:val="FirstParagraph"/>
      </w:pPr>
      <w:r>
        <w:t xml:space="preserve">DoD ManTech reporting indicates Noveon Magnetics has established a rare earth magnet manufacturing facility in San Marcos, Texas, supported by a $28.8 million MCEIP award, but does not provide a commissioning date or capacity in the cited excerpt.</w:t>
      </w:r>
    </w:p>
    <w:bookmarkEnd w:id="30"/>
    <w:bookmarkStart w:id="31" w:name="lynas-usa"/>
    <w:p>
      <w:pPr>
        <w:pStyle w:val="Heading3"/>
      </w:pPr>
      <w:r>
        <w:t xml:space="preserve">Lynas USA</w:t>
      </w:r>
    </w:p>
    <w:p>
      <w:pPr>
        <w:pStyle w:val="FirstParagraph"/>
      </w:pPr>
      <w:r>
        <w:t xml:space="preserve">DoD ManTech reporting indicates Lynas USA received a combined $288 million in MCEIP funding to establish a second domestic, commercial-scale oxide production capability by 2026. Other analyses describe Lynas’ Texas project timelines extending into 2027–2028 for commissioning and commercial production, reflecting that some upstream processing capacity may not align with the 2027 compliance deadline for magnet deliveries.</w:t>
      </w:r>
    </w:p>
    <w:bookmarkEnd w:id="31"/>
    <w:bookmarkEnd w:id="32"/>
    <w:bookmarkStart w:id="33" w:name="compliance-pathway-decision-matrix"/>
    <w:p>
      <w:pPr>
        <w:pStyle w:val="Heading2"/>
      </w:pPr>
      <w:r>
        <w:t xml:space="preserve">Compliance pathway decision matrix</w:t>
      </w:r>
    </w:p>
    <w:p>
      <w:pPr>
        <w:pStyle w:val="FirstParagraph"/>
      </w:pPr>
      <w:r>
        <w:t xml:space="preserve">The options below are not mutually exclusive; primes typically pursue multiple pathways in parallel to reduce schedule and certification risk.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When it works best</w:t>
            </w:r>
          </w:p>
        </w:tc>
        <w:tc>
          <w:tcPr/>
          <w:p>
            <w:pPr>
              <w:pStyle w:val="Compact"/>
            </w:pPr>
            <w:r>
              <w:t xml:space="preserve">What must be true by late 2026</w:t>
            </w:r>
          </w:p>
        </w:tc>
        <w:tc>
          <w:tcPr/>
          <w:p>
            <w:pPr>
              <w:pStyle w:val="Compact"/>
            </w:pPr>
            <w:r>
              <w:t xml:space="preserve">Key actions and evidence packets</w:t>
            </w:r>
          </w:p>
        </w:tc>
      </w:tr>
      <w:tr>
        <w:tc>
          <w:tcPr/>
          <w:p>
            <w:pPr>
              <w:pStyle w:val="Compact"/>
            </w:pPr>
            <w:r>
              <w:t xml:space="preserve">Transition to compliant (non-covered-country) primary supply</w:t>
            </w:r>
          </w:p>
        </w:tc>
        <w:tc>
          <w:tcPr/>
          <w:p>
            <w:pPr>
              <w:pStyle w:val="Compact"/>
            </w:pPr>
            <w:r>
              <w:t xml:space="preserve">Programs with sufficient lead time to qualify new magnet sources before Jan 1, 2027.</w:t>
            </w:r>
          </w:p>
        </w:tc>
        <w:tc>
          <w:tcPr/>
          <w:p>
            <w:pPr>
              <w:pStyle w:val="Compact"/>
            </w:pPr>
            <w:r>
              <w:t xml:space="preserve">Supply chain provenance for SmCo and NdFeB magnets must avoid covered-country mining/refining/separation/melting/production for 2027 deliveries.</w:t>
            </w:r>
          </w:p>
        </w:tc>
        <w:tc>
          <w:tcPr/>
          <w:p>
            <w:pPr>
              <w:pStyle w:val="Compact"/>
            </w:pPr>
            <w:r>
              <w:t xml:space="preserve">Review supply chains and identify alternative sources; suppliers and advisors explicitly recommend supply chain review and alternative sourcing in 2024–2026.</w:t>
            </w:r>
          </w:p>
        </w:tc>
      </w:tr>
      <w:tr>
        <w:tc>
          <w:tcPr/>
          <w:p>
            <w:pPr>
              <w:pStyle w:val="Compact"/>
            </w:pPr>
            <w:r>
              <w:t xml:space="preserve">Use the recycled NdFeB exception</w:t>
            </w:r>
          </w:p>
        </w:tc>
        <w:tc>
          <w:tcPr/>
          <w:p>
            <w:pPr>
              <w:pStyle w:val="Compact"/>
            </w:pPr>
            <w:r>
              <w:t xml:space="preserve">NdFeB magnets and end items containing NdFeB magnets where recycled feedstock is available and processing can be done domestically.</w:t>
            </w:r>
          </w:p>
        </w:tc>
        <w:tc>
          <w:tcPr/>
          <w:p>
            <w:pPr>
              <w:pStyle w:val="Compact"/>
            </w:pPr>
            <w:r>
              <w:t xml:space="preserve">Milling of recycled material and sintering of the final NdFeB magnet must take place in the United States to qualify for the exception.</w:t>
            </w:r>
          </w:p>
        </w:tc>
        <w:tc>
          <w:tcPr/>
          <w:p>
            <w:pPr>
              <w:pStyle w:val="Compact"/>
            </w:pPr>
            <w:r>
              <w:t xml:space="preserve">Designate recycled feedstock pathways; work with procuring activity on demonstrating compliance to exceptions.</w:t>
            </w:r>
          </w:p>
        </w:tc>
      </w:tr>
      <w:tr>
        <w:tc>
          <w:tcPr/>
          <w:p>
            <w:pPr>
              <w:pStyle w:val="Compact"/>
            </w:pPr>
            <w:r>
              <w:t xml:space="preserve">Seek nonavailability determination</w:t>
            </w:r>
          </w:p>
        </w:tc>
        <w:tc>
          <w:tcPr/>
          <w:p>
            <w:pPr>
              <w:pStyle w:val="Compact"/>
            </w:pPr>
            <w:r>
              <w:t xml:space="preserve">Critical applications where compliant sources of satisfactory quality/quantity “in the required form” cannot be procured when needed at a reasonable price.</w:t>
            </w:r>
          </w:p>
        </w:tc>
        <w:tc>
          <w:tcPr/>
          <w:p>
            <w:pPr>
              <w:pStyle w:val="Compact"/>
            </w:pPr>
            <w:r>
              <w:t xml:space="preserve">Government decisionmakers must have sufficient market research and analysis to support individual or class determinations; class determinations require public notice at least 30 days prior.</w:t>
            </w:r>
          </w:p>
        </w:tc>
        <w:tc>
          <w:tcPr/>
          <w:p>
            <w:pPr>
              <w:pStyle w:val="Compact"/>
            </w:pPr>
            <w:r>
              <w:t xml:space="preserve">Compile Part A data on alternative sources and detailed market research; template-based packages are explicitly contemplated in PGI 225.7018-4.</w:t>
            </w:r>
          </w:p>
        </w:tc>
      </w:tr>
    </w:tbl>
    <w:bookmarkEnd w:id="33"/>
    <w:bookmarkStart w:id="40" w:name="action-items"/>
    <w:p>
      <w:pPr>
        <w:pStyle w:val="Heading2"/>
      </w:pPr>
      <w:r>
        <w:t xml:space="preserve">Action items</w:t>
      </w:r>
    </w:p>
    <w:p>
      <w:pPr>
        <w:pStyle w:val="FirstParagraph"/>
      </w:pPr>
      <w:r>
        <w:t xml:space="preserve">The action plan below is organized as a time-phased set of tasks aligned to the DFARS dates and reported implementation windows.</w:t>
      </w:r>
    </w:p>
    <w:bookmarkStart w:id="34" w:name="X89252e60c18f542fe99aa00e6296c27e00c9173"/>
    <w:p>
      <w:pPr>
        <w:pStyle w:val="Heading3"/>
      </w:pPr>
      <w:r>
        <w:t xml:space="preserve">2024 actions</w:t>
      </w:r>
    </w:p>
    <w:p>
      <w:pPr>
        <w:pStyle w:val="FirstParagraph"/>
      </w:pPr>
      <w:r>
        <w:t xml:space="preserve">Defense primes should treat the May 30, 2024 final rule as the trigger to mobilize a program-level compliance roadmap, since it establishes the staged restriction and amends DFARS 252.225-7052 in contract language. Legal and policy commentary recommends immediate awareness and preparation steps in 2024, followed by supply chain review in 2025 and supplier transition in 2026.</w:t>
      </w:r>
    </w:p>
    <w:bookmarkEnd w:id="34"/>
    <w:bookmarkStart w:id="35" w:name="X627cf51c677464805f7e877595be5bbac721821"/>
    <w:p>
      <w:pPr>
        <w:pStyle w:val="Heading3"/>
      </w:pPr>
      <w:r>
        <w:t xml:space="preserve">2025 actions</w:t>
      </w:r>
    </w:p>
    <w:p>
      <w:pPr>
        <w:pStyle w:val="FirstParagraph"/>
      </w:pPr>
      <w:r>
        <w:t xml:space="preserve">Primes should begin structured supply chain reviews (down to covered material provenance) and implement tracking systems capable of supporting future source-disclosure requirements, since GAO indicates disclosure implementation is expected between 2025 and 2027 and states that contractors unable to disclose must establish a supply chain tracking system to disclose “to the fullest extent possible.” In the same period, primes should proactively qualify emerging domestic sources as they begin trial production and early shipments, such as MP’s Independence facility ramp beginning in late 2025 and first deliveries targeted by year-end 2025.</w:t>
      </w:r>
    </w:p>
    <w:bookmarkEnd w:id="35"/>
    <w:bookmarkStart w:id="36" w:name="Xb2dcf04bfb94f477091ef793b41fb1234cfd7e7"/>
    <w:p>
      <w:pPr>
        <w:pStyle w:val="Heading3"/>
      </w:pPr>
      <w:r>
        <w:t xml:space="preserve">2026 actions</w:t>
      </w:r>
    </w:p>
    <w:p>
      <w:pPr>
        <w:pStyle w:val="FirstParagraph"/>
      </w:pPr>
      <w:r>
        <w:t xml:space="preserve">By 2026, primes should be executing supplier transitions and qualification campaigns, because the restriction expands upstream on January 1, 2027 and will apply to the entire supply chain for SmCo and NdFeB magnets. Industry advisors explicitly recommend identifying and securing alternative sources in 2026 due to the expanded scope and reduced applicability of the COTS exemption.</w:t>
      </w:r>
    </w:p>
    <w:p>
      <w:pPr>
        <w:pStyle w:val="BodyText"/>
      </w:pPr>
      <w:r>
        <w:t xml:space="preserve">Primes should also prepare “waiver-ready” nonavailability determination packages if compliant sources cannot be secured for 2027 deliveries. Multiple sources recommend aggregating data to support nonavailability determinations if noncompliance is anticipated by January 1, 2027, and DFARS/PGI materials specify that class determinations require at least 30 days of public notice and that determination packages require detailed market research and alternative-source analysis.</w:t>
      </w:r>
    </w:p>
    <w:bookmarkEnd w:id="36"/>
    <w:bookmarkStart w:id="37" w:name="q4-2026-checkpoint"/>
    <w:p>
      <w:pPr>
        <w:pStyle w:val="Heading3"/>
      </w:pPr>
      <w:r>
        <w:t xml:space="preserve">Q4 2026 checkpoint</w:t>
      </w:r>
    </w:p>
    <w:p>
      <w:pPr>
        <w:pStyle w:val="FirstParagraph"/>
      </w:pPr>
      <w:r>
        <w:t xml:space="preserve">By the end of 2026, primes should have either completed a transition to compliant sources or be in an advanced stage of a government-approved nonavailability determination path, because the contract-delivery prohibition expands on January 1, 2027 and applies directly to contractor deliveries under covered contracts.</w:t>
      </w:r>
    </w:p>
    <w:bookmarkEnd w:id="37"/>
    <w:bookmarkStart w:id="38" w:name="Xb739a7552806e31215408255e3484d98dc9e3dd"/>
    <w:p>
      <w:pPr>
        <w:pStyle w:val="Heading3"/>
      </w:pPr>
      <w:r>
        <w:t xml:space="preserve">2027 actions</w:t>
      </w:r>
    </w:p>
    <w:p>
      <w:pPr>
        <w:pStyle w:val="FirstParagraph"/>
      </w:pPr>
      <w:r>
        <w:t xml:space="preserve">Starting January 1, 2027, primes must ensure magnet-containing deliverables do not contain covered material mined/refined/separated/melted/produced in covered countries (unless an exception applies). For SmCo, the explicit inclusion of “recycled material” within the covered supply chain means primes should not assume that recycled SmCo feedstock is exempt in the way recycled NdFeB can be exempt (under the narrow U.S. milling + sintering condition).</w:t>
      </w:r>
    </w:p>
    <w:bookmarkEnd w:id="38"/>
    <w:bookmarkStart w:id="39" w:name="X67fc93ec0f48e22f9b9593a2afc6c2424d44507"/>
    <w:p>
      <w:pPr>
        <w:pStyle w:val="Heading3"/>
      </w:pPr>
      <w:r>
        <w:t xml:space="preserve">2028 actions</w:t>
      </w:r>
    </w:p>
    <w:p>
      <w:pPr>
        <w:pStyle w:val="FirstParagraph"/>
      </w:pPr>
      <w:r>
        <w:t xml:space="preserve">In 2028, primes should reassess their long-term sourcing position in light of new domestic capacity expected to begin commissioning (e.g., MP’s 10X Facility), and consider whether long-term offtake/price-stability arrangements can reduce program risk as demand grows and DFARS compliance becomes a baseline requirement for many magnet-containing systems.</w:t>
      </w:r>
    </w:p>
    <w:bookmarkEnd w:id="39"/>
    <w:bookmarkEnd w:id="40"/>
    <w:bookmarkStart w:id="41" w:name="risk-assessment"/>
    <w:p>
      <w:pPr>
        <w:pStyle w:val="Heading2"/>
      </w:pPr>
      <w:r>
        <w:t xml:space="preserve">Risk assessment</w:t>
      </w:r>
    </w:p>
    <w:p>
      <w:pPr>
        <w:pStyle w:val="FirstParagraph"/>
      </w:pPr>
      <w:r>
        <w:t xml:space="preserve">The largest compliance risk is a schedule mismatch between (a) the hard DFARS January 1, 2027 expanded prohibition for magnet supply chains and (b) the time required to build and qualify compliant upstream and downstream capacity. DFARS rulemaking itself can take “a year or longer,” and DoD assessed that it can take “a decade or longer” to establish new domestic sources for rare earths, which makes reliance on late-breaking domestic capacity a high-risk strategy for 2027 program deliveries.</w:t>
      </w:r>
    </w:p>
    <w:p>
      <w:pPr>
        <w:pStyle w:val="BodyText"/>
      </w:pPr>
      <w:r>
        <w:t xml:space="preserve">A second risk is that supply chain disclosure/provenance requirements may tighten during 2025–2027, and GAO signals that contractors unable to disclose sources will need supply chain tracking systems to comply “to the fullest extent possible.” This creates an operational risk where programs may be blocked not only by material provenance, but also by incomplete documentation systems and weak subcontract flowdown practices.</w:t>
      </w:r>
    </w:p>
    <w:p>
      <w:pPr>
        <w:pStyle w:val="BodyText"/>
      </w:pPr>
      <w:r>
        <w:t xml:space="preserve">A third risk is the reduced applicability of COTS-based compliance shortcuts. Effective January 1, 2027, legal commentary notes the COTS exemption is narrowed to items containing less than 50% covered material by weight, which can pull previously “commercial” subassemblies into the scope of origin/provenance diligence if magnets are a substantial fraction of mass (e.g., dense motor components).</w:t>
      </w:r>
    </w:p>
    <w:p>
      <w:pPr>
        <w:pStyle w:val="BodyText"/>
      </w:pPr>
      <w:r>
        <w:t xml:space="preserve">Finally, primes should plan for the contingency that nonavailability determinations may be necessary for specific applications. The DFARS framework allows such determinations when compliant covered materials of satisfactory quality/quantity in the required form cannot be procured at a reasonable price, but class determinations require public notice at least 30 days prior and require extensive supporting documentation and market research.</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