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fc5bfa0ae2108a46f1bc5b9ae219e8cb6cd21e"/>
    <w:p>
      <w:pPr>
        <w:pStyle w:val="Heading1"/>
      </w:pPr>
      <w:r>
        <w:t xml:space="preserve">DFARS Rare Earth Magnet Compliance Timeline: Roadmap for Defense Primes (2024-2028)</w:t>
      </w:r>
    </w:p>
    <w:bookmarkStart w:id="20" w:name="summary"/>
    <w:p>
      <w:pPr>
        <w:pStyle w:val="Heading2"/>
      </w:pPr>
      <w:r>
        <w:t xml:space="preserve">Summary</w:t>
      </w:r>
    </w:p>
    <w:p>
      <w:pPr>
        <w:pStyle w:val="FirstParagraph"/>
      </w:pPr>
      <w:r>
        <w:t xml:space="preserve">Defense prime contractors that deliver systems containing samarium-cobalt (SmCo) or neodymium-iron-boron (NdFeB) magnets face a hard compliance inflection on January 1, 2027, when the DFARS restriction expands from a “melted or produced” test to a full upstream provenance test covering materials that are “mined, refined, separated, melted, or produced” in covered countries. The rule change was finalized and made effective on May 30, 2024, which means compliance planning is not speculative—contract clauses and supplier traceability expectations are already “in flight” for new work and for future deliveries under covered contracts.</w:t>
      </w:r>
    </w:p>
    <w:p>
      <w:pPr>
        <w:pStyle w:val="BodyText"/>
      </w:pPr>
      <w:r>
        <w:t xml:space="preserve">Through December 31, 2026, contractors must ensure that covered materials (including SmCo and NdFeB magnets) are not melted or produced in covered countries; however, the restriction is explicitly defined to include subsequent magnet production steps such as powder formation, pressing, sintering or bonding, and magnetization for SmCo and NdFeB magnets. Beginning January 1, 2027, the restriction expands to the entire supply chain for SmCo magnets (explicitly including recycled feedstock) and for NdFeB magnets from mining through finished magnets, with only a narrow recycled-material exception available for NdFeB when milling of recycled material and sintering of the final magnet occur in the United States.</w:t>
      </w:r>
    </w:p>
    <w:bookmarkEnd w:id="20"/>
    <w:bookmarkStart w:id="26" w:name="timeline"/>
    <w:p>
      <w:pPr>
        <w:pStyle w:val="Heading2"/>
      </w:pPr>
      <w:r>
        <w:t xml:space="preserve">Timeline</w:t>
      </w:r>
    </w:p>
    <w:p>
      <w:pPr>
        <w:pStyle w:val="FirstParagraph"/>
      </w:pPr>
      <w:r>
        <w:t xml:space="preserve">The timeline below synthesizes (1) binding regulatory milestones and (2) the realistic industrial capacity that appears to be coming online between 2025 and 2028 to support compliant sourcing, based on DoD announcements, company filings/press releases, and related public reporting.</w:t>
      </w:r>
    </w:p>
    <w:bookmarkStart w:id="21" w:name="Xe79a3af2634de6635e59c9404d251b3955d39f9"/>
    <w:p>
      <w:pPr>
        <w:pStyle w:val="Heading3"/>
      </w:pPr>
      <w:r>
        <w:t xml:space="preserve">2024</w:t>
      </w:r>
    </w:p>
    <w:p>
      <w:pPr>
        <w:pStyle w:val="FirstParagraph"/>
      </w:pPr>
      <w:r>
        <w:t xml:space="preserve">The DoD issued a final rule on May 30, 2024 implementing NDAA-driven sourcing restrictions by amending DFARS 225.7018-2 and the associated clause DFARS 252.225-7052. The final rule is effective May 30, 2024. The rule establishes a staged prohibition: through December 31, 2026 the restriction applies to covered material “melted or produced” in a covered country, and effective January 1, 2027 it expands to covered material “mined, refined, separated, melted, or produced” in a covered country.</w:t>
      </w:r>
    </w:p>
    <w:p>
      <w:pPr>
        <w:pStyle w:val="BodyText"/>
      </w:pPr>
      <w:r>
        <w:t xml:space="preserve">In parallel, GAO reporting indicates DoD had completed rulemaking for the revised prohibition in May 2024, aligning with the May 30, 2024 final rule publication timeline described in the Federal Register.</w:t>
      </w:r>
    </w:p>
    <w:p>
      <w:pPr>
        <w:pStyle w:val="BodyText"/>
      </w:pPr>
      <w:r>
        <w:t xml:space="preserve">Action items for primes in 2024 should be anchored around awareness and readiness planning as the rule is finalized, including initiating supply-chain reviews and identifying alternative sources.</w:t>
      </w:r>
    </w:p>
    <w:bookmarkEnd w:id="21"/>
    <w:bookmarkStart w:id="22" w:name="X04be89dd9e070ecb080b9b759e5be29ec24881b"/>
    <w:p>
      <w:pPr>
        <w:pStyle w:val="Heading3"/>
      </w:pPr>
      <w:r>
        <w:t xml:space="preserve">2025</w:t>
      </w:r>
    </w:p>
    <w:p>
      <w:pPr>
        <w:pStyle w:val="FirstParagraph"/>
      </w:pPr>
      <w:r>
        <w:t xml:space="preserve">In 2025, regulatory work shifts from “what is the restriction” to “how will provenance disclosure be implemented and enforced across programs.” GAO reports DoD is in early-stage rulemaking for a new provenance disclosure requirement for permanent magnets, with DoD officials expecting to publish a proposed DFARS rule for public comment in October 2024 and a statutory effective date “not earlier than June 2025.” GAO also states that such disclosure requirements are expected to start going into effect sometime between 2025 and 2027.</w:t>
      </w:r>
    </w:p>
    <w:p>
      <w:pPr>
        <w:pStyle w:val="BodyText"/>
      </w:pPr>
      <w:r>
        <w:t xml:space="preserve">On the industrial capacity side, DoD has awarded more than $439 million since 2020 to establish domestic rare earth element supply chains, and DoD states it is “on track” to support all U.S. defense requirements with a sustainable “mine-to-magnet” supply chain by 2027. In the same DoD reporting stream, MP Materials is described as the only integrated rare earth mine and oxide production facility in the U.S., with capacity additions through 2025 projected to reach full-scale production (for oxide production).</w:t>
      </w:r>
    </w:p>
    <w:p>
      <w:pPr>
        <w:pStyle w:val="BodyText"/>
      </w:pPr>
      <w:r>
        <w:t xml:space="preserve">Company filings and press releases indicate MP Materials’ Fort Worth, Texas “Independence” facility is producing commercial NdPr metal and is progressing trial production of sintered NdFeB magnets, with first deliveries “on track for year-end” and a gradual production ramp beginning in late 2025; the company describes a target of approximately 1,000 metric tons of finished NdFeB magnets per year at this facility.</w:t>
      </w:r>
    </w:p>
    <w:p>
      <w:pPr>
        <w:pStyle w:val="BodyText"/>
      </w:pPr>
      <w:r>
        <w:t xml:space="preserve">Operational risk management for primes remains necessary in 2025–2026 because downstream availability can still be gated by upstream material flows and trade controls; for example, one industry source notes export licenses may take 45 to 60 days or longer to obtain, creating timing risk for China-origin supply even before the 2027 prohibition fully applies.</w:t>
      </w:r>
    </w:p>
    <w:bookmarkEnd w:id="22"/>
    <w:bookmarkStart w:id="23" w:name="Xee655773d856fb038536adcfd6472fc7543463e"/>
    <w:p>
      <w:pPr>
        <w:pStyle w:val="Heading3"/>
      </w:pPr>
      <w:r>
        <w:t xml:space="preserve">2026</w:t>
      </w:r>
    </w:p>
    <w:p>
      <w:pPr>
        <w:pStyle w:val="FirstParagraph"/>
      </w:pPr>
      <w:r>
        <w:t xml:space="preserve">In 2026, the recommended posture shifts toward completing second-source qualification, locking in compliant supply, and preparing documentation to support nonavailability determinations where needed. Crowell’s client alert frames a staged contractor timeline: review supply chains in 2025, identify and secure alternative sources in 2026, and be fully compliant in 2027 (including adapting to the reduced applicability of the COTS exemption).</w:t>
      </w:r>
    </w:p>
    <w:p>
      <w:pPr>
        <w:pStyle w:val="BodyText"/>
      </w:pPr>
      <w:r>
        <w:t xml:space="preserve">For NdFeB supply hardening, MP Materials reports a heavy rare earth separation facility at Mountain Pass designed to process approximately 3,000 MT of feedstock per year, with a Dy/Tb circuit nameplate capacity of 200 MT/year; MP targets commissioning of this heavy rare earth capability in mid-2026, explicitly tied to supporting higher-performance NdFeB magnets that require Dy/Tb supply security.</w:t>
      </w:r>
    </w:p>
    <w:p>
      <w:pPr>
        <w:pStyle w:val="BodyText"/>
      </w:pPr>
      <w:r>
        <w:t xml:space="preserve">For magnet manufacturing capacity, eVAC Magnetics (VAC Group) states its Sumter, South Carolina facility opened in fall 2025 and will “quickly scale” to an annual production capacity of 2,000 metric tons of magnets by the first quarter of 2026, with stated ability to scale up to six times that amount in coming years.</w:t>
      </w:r>
    </w:p>
    <w:bookmarkEnd w:id="23"/>
    <w:bookmarkStart w:id="24" w:name="X4e0cfdcb9cb9a94dabbe7806d529ae6b808d7d6"/>
    <w:p>
      <w:pPr>
        <w:pStyle w:val="Heading3"/>
      </w:pPr>
      <w:r>
        <w:t xml:space="preserve">2027</w:t>
      </w:r>
    </w:p>
    <w:p>
      <w:pPr>
        <w:pStyle w:val="FirstParagraph"/>
      </w:pPr>
      <w:r>
        <w:t xml:space="preserve">January 1, 2027 is the compliance deadline when the DFARS restriction expands to prohibit acquisition/delivery of covered materials that are “mined, refined, separated, melted, or produced” in a covered country, including for end items manufactured in a covered country that contain a covered material. The same January 1, 2027 date is the point at which SmCo magnets are explicitly treated as fully provenance-covered across the entire supply chain (including recycled feedstock), and NdFeB magnets are treated as provenance-covered from mining through finished magnets (subject to exceptions).</w:t>
      </w:r>
    </w:p>
    <w:p>
      <w:pPr>
        <w:pStyle w:val="BodyText"/>
      </w:pPr>
      <w:r>
        <w:t xml:space="preserve">Primes should also plan for the narrowing of the COTS exemption effective January 1, 2027: COTS items are exempt only unless they are 50% or more “covered material” by weight.</w:t>
      </w:r>
    </w:p>
    <w:p>
      <w:pPr>
        <w:pStyle w:val="BodyText"/>
      </w:pPr>
      <w:r>
        <w:t xml:space="preserve">Industrial targets and program messaging are aligned around 2027: DoD states it is “on track” for a mine-to-magnet supply chain capable of supporting all U.S. defense requirements by 2027. MP Materials investor materials also describe “initial volumes starting in 2027” tied to expansion plans, which primes can treat as an indicator of increased domestic availability but not a substitute for qualification and contractual commitments.</w:t>
      </w:r>
    </w:p>
    <w:bookmarkEnd w:id="24"/>
    <w:bookmarkStart w:id="25" w:name="X31f6b7d5b29f0d72c8e0add95ac64e7aa6b01d3"/>
    <w:p>
      <w:pPr>
        <w:pStyle w:val="Heading3"/>
      </w:pPr>
      <w:r>
        <w:t xml:space="preserve">2028</w:t>
      </w:r>
    </w:p>
    <w:p>
      <w:pPr>
        <w:pStyle w:val="FirstParagraph"/>
      </w:pPr>
      <w:r>
        <w:t xml:space="preserve">2028 is best treated as “next-wave” capacity rather than a primary compliance solution for the 2027 deadline. MP Materials states it will construct a second domestic magnet manufacturing facility (the “10X Facility”) expected to begin commissioning in 2028, and that total U.S. rare earth magnet manufacturing capacity would reach an estimated 10,000 metric tons once the new facility is completed.</w:t>
      </w:r>
    </w:p>
    <w:p>
      <w:pPr>
        <w:pStyle w:val="BodyText"/>
      </w:pPr>
      <w:r>
        <w:t xml:space="preserve">For allied/partner supply chain development in separation (not magnet manufacturing), one source projects commissioning of the Lynas Texas facility in Q4 2027 and commercial production in Q2 2028 (with probabilistic confidence levels stated in that source), emphasizing that some upstream non-China capacity may arrive too late to de-risk 2027 fully.</w:t>
      </w:r>
    </w:p>
    <w:bookmarkEnd w:id="25"/>
    <w:bookmarkEnd w:id="26"/>
    <w:bookmarkStart w:id="27" w:name="milestones"/>
    <w:p>
      <w:pPr>
        <w:pStyle w:val="Heading2"/>
      </w:pPr>
      <w:r>
        <w:t xml:space="preserve">Milestones</w:t>
      </w:r>
    </w:p>
    <w:p>
      <w:pPr>
        <w:pStyle w:val="FirstParagraph"/>
      </w:pPr>
      <w:r>
        <w:t xml:space="preserve">This section lists the compliance-relevant regulatory milestones that primes should treat as “gates” for program execution and contract deliverables.</w:t>
      </w:r>
    </w:p>
    <w:p>
      <w:pPr>
        <w:pStyle w:val="BodyText"/>
      </w:pPr>
      <w:r>
        <w:t xml:space="preserve">First, the staged restriction itself is explicit: through December 31, 2026, the prohibition applies to covered material “melted or produced” in a covered country; effective January 1, 2027, it expands to “mined, refined, separated, melted, or produced.”</w:t>
      </w:r>
    </w:p>
    <w:p>
      <w:pPr>
        <w:pStyle w:val="BodyText"/>
      </w:pPr>
      <w:r>
        <w:t xml:space="preserve">Second, the clause scope makes clear that SmCo and NdFeB magnets are covered materials, and that (at least through December 31, 2026) the restriction includes post-melt production phases including powder formation, pressing, sintering or bonding, and magnetization—so “buying finished magnets” does not avoid compliance obligations if upstream steps are noncompliant.</w:t>
      </w:r>
    </w:p>
    <w:p>
      <w:pPr>
        <w:pStyle w:val="BodyText"/>
      </w:pPr>
      <w:r>
        <w:t xml:space="preserve">Third, a separate but converging milestone is provenance disclosure rulemaking and implementation. GAO indicates DoD planned to publish a proposed DFARS rule for public comment in October 2024 and that the disclosure statutory effective date is “not earlier than June 2025,” with requirements expected to take effect between 2025 and 2027.</w:t>
      </w:r>
    </w:p>
    <w:bookmarkEnd w:id="27"/>
    <w:bookmarkStart w:id="28" w:name="capacity"/>
    <w:p>
      <w:pPr>
        <w:pStyle w:val="Heading2"/>
      </w:pPr>
      <w:r>
        <w:t xml:space="preserve">Capacity</w:t>
      </w:r>
    </w:p>
    <w:p>
      <w:pPr>
        <w:pStyle w:val="FirstParagraph"/>
      </w:pPr>
      <w:r>
        <w:t xml:space="preserve">This section summarizes major capacity additions and supply-chain enablers that appear most relevant to meeting the 2027 prohibition, emphasizing what is likely to be available before January 1, 2027 versus what arrives after.</w:t>
      </w:r>
    </w:p>
    <w:p>
      <w:pPr>
        <w:pStyle w:val="BodyText"/>
      </w:pPr>
      <w:r>
        <w:t xml:space="preserve">DoD has funded domestic supply chain buildout since 2020 (more than $439 million) and reports a 2027 goal for mine-to-magnet sufficiency for defense requirements, signaling that DoD expects contractors to align qualification and procurement plans with this timeline.</w:t>
      </w:r>
    </w:p>
    <w:p>
      <w:pPr>
        <w:pStyle w:val="BodyText"/>
      </w:pPr>
      <w:r>
        <w:t xml:space="preserve">The table below provides a compact view of key publicly described domestic capacity nodes and their announced dates or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Node</w:t>
            </w:r>
          </w:p>
        </w:tc>
        <w:tc>
          <w:tcPr/>
          <w:p>
            <w:pPr>
              <w:pStyle w:val="Compact"/>
            </w:pPr>
            <w:r>
              <w:t xml:space="preserve">What it adds</w:t>
            </w:r>
          </w:p>
        </w:tc>
        <w:tc>
          <w:tcPr/>
          <w:p>
            <w:pPr>
              <w:pStyle w:val="Compact"/>
            </w:pPr>
            <w:r>
              <w:t xml:space="preserve">Date or target</w:t>
            </w:r>
          </w:p>
        </w:tc>
        <w:tc>
          <w:tcPr/>
          <w:p>
            <w:pPr>
              <w:pStyle w:val="Compact"/>
            </w:pPr>
            <w:r>
              <w:t xml:space="preserve">Notes for primes</w:t>
            </w:r>
          </w:p>
        </w:tc>
      </w:tr>
      <w:tr>
        <w:tc>
          <w:tcPr/>
          <w:p>
            <w:pPr>
              <w:pStyle w:val="Compact"/>
            </w:pPr>
            <w:r>
              <w:t xml:space="preserve">MP Materials Independence (Fort Worth, TX)</w:t>
            </w:r>
          </w:p>
        </w:tc>
        <w:tc>
          <w:tcPr/>
          <w:p>
            <w:pPr>
              <w:pStyle w:val="Compact"/>
            </w:pPr>
            <w:r>
              <w:t xml:space="preserve">Trial production of sintered NdFeB magnets; commercial NdPr metal</w:t>
            </w:r>
          </w:p>
        </w:tc>
        <w:tc>
          <w:tcPr/>
          <w:p>
            <w:pPr>
              <w:pStyle w:val="Compact"/>
            </w:pPr>
            <w:r>
              <w:t xml:space="preserve">Press release dated Jan 22, 2025; first deliveries targeted year-end; gradual ramp in late 2025; ~1,000 metric tons/year finished magnet target</w:t>
            </w:r>
          </w:p>
        </w:tc>
        <w:tc>
          <w:tcPr/>
          <w:p>
            <w:pPr>
              <w:pStyle w:val="Compact"/>
            </w:pPr>
            <w:r>
              <w:t xml:space="preserve">Treat as a near-term domestic source for NdFeB supply qualification, but validate grade coverage and capacity allocation early (auto demand and other offtakes may compete for output).</w:t>
            </w:r>
          </w:p>
        </w:tc>
      </w:tr>
      <w:tr>
        <w:tc>
          <w:tcPr/>
          <w:p>
            <w:pPr>
              <w:pStyle w:val="Compact"/>
            </w:pPr>
            <w:r>
              <w:t xml:space="preserve">MP Materials Mountain Pass HREE separation</w:t>
            </w:r>
          </w:p>
        </w:tc>
        <w:tc>
          <w:tcPr/>
          <w:p>
            <w:pPr>
              <w:pStyle w:val="Compact"/>
            </w:pPr>
            <w:r>
              <w:t xml:space="preserve">Dy/Tb circuit capacity 200 MT/year; designed feedstock processing ~3,000 MT/year</w:t>
            </w:r>
          </w:p>
        </w:tc>
        <w:tc>
          <w:tcPr/>
          <w:p>
            <w:pPr>
              <w:pStyle w:val="Compact"/>
            </w:pPr>
            <w:r>
              <w:t xml:space="preserve">Commissioning targeted mid-2026</w:t>
            </w:r>
          </w:p>
        </w:tc>
        <w:tc>
          <w:tcPr/>
          <w:p>
            <w:pPr>
              <w:pStyle w:val="Compact"/>
            </w:pPr>
            <w:r>
              <w:t xml:space="preserve">Relevant for high-coercivity NdFeB grades needing Dy/Tb; primes should align magnet-grade qualification plans with mid-2026 commissioning risk and ramp uncertainty.</w:t>
            </w:r>
          </w:p>
        </w:tc>
      </w:tr>
      <w:tr>
        <w:tc>
          <w:tcPr/>
          <w:p>
            <w:pPr>
              <w:pStyle w:val="Compact"/>
            </w:pPr>
            <w:r>
              <w:t xml:space="preserve">eVAC Magnetics (VAC) Sumter, SC</w:t>
            </w:r>
          </w:p>
        </w:tc>
        <w:tc>
          <w:tcPr/>
          <w:p>
            <w:pPr>
              <w:pStyle w:val="Compact"/>
            </w:pPr>
            <w:r>
              <w:t xml:space="preserve">NdFeB magnet manufacturing scale-up</w:t>
            </w:r>
          </w:p>
        </w:tc>
        <w:tc>
          <w:tcPr/>
          <w:p>
            <w:pPr>
              <w:pStyle w:val="Compact"/>
            </w:pPr>
            <w:r>
              <w:t xml:space="preserve">Opened fall 2025; scale to 2,000 metric tons/year by Q1 2026; potential 6× scale later</w:t>
            </w:r>
          </w:p>
        </w:tc>
        <w:tc>
          <w:tcPr/>
          <w:p>
            <w:pPr>
              <w:pStyle w:val="Compact"/>
            </w:pPr>
            <w:r>
              <w:t xml:space="preserve">eVAC states it sources NdPr feedstock via partnership with MP Materials (Mountain Pass), which may simplify provenance arguments but still requires contract-level traceability and flowdown compliance.</w:t>
            </w:r>
          </w:p>
        </w:tc>
      </w:tr>
      <w:tr>
        <w:tc>
          <w:tcPr/>
          <w:p>
            <w:pPr>
              <w:pStyle w:val="Compact"/>
            </w:pPr>
            <w:r>
              <w:t xml:space="preserve">Noveon Magnetics (San Marcos, TX)</w:t>
            </w:r>
          </w:p>
        </w:tc>
        <w:tc>
          <w:tcPr/>
          <w:p>
            <w:pPr>
              <w:pStyle w:val="Compact"/>
            </w:pPr>
            <w:r>
              <w:t xml:space="preserve">Rare earth magnet manufacturing facility</w:t>
            </w:r>
          </w:p>
        </w:tc>
        <w:tc>
          <w:tcPr/>
          <w:p>
            <w:pPr>
              <w:pStyle w:val="Compact"/>
            </w:pPr>
            <w:r>
              <w:t xml:space="preserve">DoD reporting describes it as “established” with a $28.8M award (date not specified in that source)</w:t>
            </w:r>
          </w:p>
        </w:tc>
        <w:tc>
          <w:tcPr/>
          <w:p>
            <w:pPr>
              <w:pStyle w:val="Compact"/>
            </w:pPr>
            <w:r>
              <w:t xml:space="preserve">Treat as an existing domestic node; primes should validate which magnet forms/grades and what provenance documentation is available for DFARS compliance.</w:t>
            </w:r>
          </w:p>
        </w:tc>
      </w:tr>
      <w:tr>
        <w:tc>
          <w:tcPr/>
          <w:p>
            <w:pPr>
              <w:pStyle w:val="Compact"/>
            </w:pPr>
            <w:r>
              <w:t xml:space="preserve">MP Materials 10X Facility</w:t>
            </w:r>
          </w:p>
        </w:tc>
        <w:tc>
          <w:tcPr/>
          <w:p>
            <w:pPr>
              <w:pStyle w:val="Compact"/>
            </w:pPr>
            <w:r>
              <w:t xml:space="preserve">Large-scale domestic magnet manufacturing capacity</w:t>
            </w:r>
          </w:p>
        </w:tc>
        <w:tc>
          <w:tcPr/>
          <w:p>
            <w:pPr>
              <w:pStyle w:val="Compact"/>
            </w:pPr>
            <w:r>
              <w:t xml:space="preserve">Commissioning expected to begin in 2028; total estimated U.S. capacity 10,000 metric tons when complete</w:t>
            </w:r>
          </w:p>
        </w:tc>
        <w:tc>
          <w:tcPr/>
          <w:p>
            <w:pPr>
              <w:pStyle w:val="Compact"/>
            </w:pPr>
            <w:r>
              <w:t xml:space="preserve">Helpful for post-2027 supply resiliency and price stability; not a primary mitigation for the 2027 compliance cliff.</w:t>
            </w:r>
          </w:p>
        </w:tc>
      </w:tr>
    </w:tbl>
    <w:p>
      <w:pPr>
        <w:pStyle w:val="BodyText"/>
      </w:pPr>
      <w:r>
        <w:t xml:space="preserve">|</w:t>
      </w:r>
    </w:p>
    <w:bookmarkEnd w:id="28"/>
    <w:bookmarkStart w:id="29" w:name="pathways"/>
    <w:p>
      <w:pPr>
        <w:pStyle w:val="Heading2"/>
      </w:pPr>
      <w:r>
        <w:t xml:space="preserve">Pathways</w:t>
      </w:r>
    </w:p>
    <w:p>
      <w:pPr>
        <w:pStyle w:val="FirstParagraph"/>
      </w:pPr>
      <w:r>
        <w:t xml:space="preserve">Compliance strategy should be chosen at the bill-of-materials level (which magnets, what form, and what upstream steps), but it is still useful to compare the main pathways primes are likely to pursue for DFARS coverage.</w:t>
      </w:r>
    </w:p>
    <w:p>
      <w:pPr>
        <w:pStyle w:val="BodyText"/>
      </w:pPr>
      <w:r>
        <w:t xml:space="preserve">The table below summarizes four pathways that are directly implied by DFARS clause structure (domestic sourcing, recycled NdFeB exception, allied sourcing under the pre-2027 rule, and nonavailability determinations).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What it means under DFARS</w:t>
            </w:r>
          </w:p>
        </w:tc>
        <w:tc>
          <w:tcPr/>
          <w:p>
            <w:pPr>
              <w:pStyle w:val="Compact"/>
            </w:pPr>
            <w:r>
              <w:t xml:space="preserve">When it can work</w:t>
            </w:r>
          </w:p>
        </w:tc>
        <w:tc>
          <w:tcPr/>
          <w:p>
            <w:pPr>
              <w:pStyle w:val="Compact"/>
            </w:pPr>
            <w:r>
              <w:t xml:space="preserve">Prime contractor action items</w:t>
            </w:r>
          </w:p>
        </w:tc>
      </w:tr>
      <w:tr>
        <w:tc>
          <w:tcPr/>
          <w:p>
            <w:pPr>
              <w:pStyle w:val="Compact"/>
            </w:pPr>
            <w:r>
              <w:t xml:space="preserve">Primary domestic sourcing</w:t>
            </w:r>
          </w:p>
        </w:tc>
        <w:tc>
          <w:tcPr/>
          <w:p>
            <w:pPr>
              <w:pStyle w:val="Compact"/>
            </w:pPr>
            <w:r>
              <w:t xml:space="preserve">From Jan 1, 2027, SmCo and NdFeB magnets must have an entire supply chain not involving covered countries (mined/refined/separated/melted/produced).</w:t>
            </w:r>
          </w:p>
        </w:tc>
        <w:tc>
          <w:tcPr/>
          <w:p>
            <w:pPr>
              <w:pStyle w:val="Compact"/>
            </w:pPr>
            <w:r>
              <w:t xml:space="preserve">Best long-term compliance posture; aligns with DoD’s domestic buildout investments and 2027 mine-to-magnet goal.</w:t>
            </w:r>
          </w:p>
        </w:tc>
        <w:tc>
          <w:tcPr/>
          <w:p>
            <w:pPr>
              <w:pStyle w:val="Compact"/>
            </w:pPr>
            <w:r>
              <w:t xml:space="preserve">Start qualification in 2025–2026 and secure capacity allocations; treat 2027 as a delivery gate rather than a sourcing “start.”</w:t>
            </w:r>
          </w:p>
        </w:tc>
      </w:tr>
      <w:tr>
        <w:tc>
          <w:tcPr/>
          <w:p>
            <w:pPr>
              <w:pStyle w:val="Compact"/>
            </w:pPr>
            <w:r>
              <w:t xml:space="preserve">Recycled NdFeB exception</w:t>
            </w:r>
          </w:p>
        </w:tc>
        <w:tc>
          <w:tcPr/>
          <w:p>
            <w:pPr>
              <w:pStyle w:val="Compact"/>
            </w:pPr>
            <w:r>
              <w:t xml:space="preserve">NdFeB magnets made from recycled material are excepted if milling of recycled material and sintering of the final magnet occur in the U.S.</w:t>
            </w:r>
          </w:p>
        </w:tc>
        <w:tc>
          <w:tcPr/>
          <w:p>
            <w:pPr>
              <w:pStyle w:val="Compact"/>
            </w:pPr>
            <w:r>
              <w:t xml:space="preserve">Potentially viable before 2027 for NdFeB-only (no parallel exception added for SmCo).</w:t>
            </w:r>
          </w:p>
        </w:tc>
        <w:tc>
          <w:tcPr/>
          <w:p>
            <w:pPr>
              <w:pStyle w:val="Compact"/>
            </w:pPr>
            <w:r>
              <w:t xml:space="preserve">Confirm recycled feedstock chain-of-custody and ensure U.S. milling and U.S. sintering are explicitly documented in supplier C of C packages.</w:t>
            </w:r>
          </w:p>
        </w:tc>
      </w:tr>
      <w:tr>
        <w:tc>
          <w:tcPr/>
          <w:p>
            <w:pPr>
              <w:pStyle w:val="Compact"/>
            </w:pPr>
            <w:r>
              <w:t xml:space="preserve">Allied-nation sourcing</w:t>
            </w:r>
          </w:p>
        </w:tc>
        <w:tc>
          <w:tcPr/>
          <w:p>
            <w:pPr>
              <w:pStyle w:val="Compact"/>
            </w:pPr>
            <w:r>
              <w:t xml:space="preserve">Under the pre-2027 phase, compliance is framed around “melted or produced” in covered countries (not upstream mining/refining/separation).</w:t>
            </w:r>
          </w:p>
        </w:tc>
        <w:tc>
          <w:tcPr/>
          <w:p>
            <w:pPr>
              <w:pStyle w:val="Compact"/>
            </w:pPr>
            <w:r>
              <w:t xml:space="preserve">Can help bridge supply through Dec 31, 2026, but does not solve the Jan 1, 2027 full provenance requirement.</w:t>
            </w:r>
          </w:p>
        </w:tc>
        <w:tc>
          <w:tcPr/>
          <w:p>
            <w:pPr>
              <w:pStyle w:val="Compact"/>
            </w:pPr>
            <w:r>
              <w:t xml:space="preserve">Use for near-term continuity only; build an exit plan and ensure no multi-year deliveries extend past Jan 1, 2027 without a compliant post-2026 source.</w:t>
            </w:r>
          </w:p>
        </w:tc>
      </w:tr>
      <w:tr>
        <w:tc>
          <w:tcPr/>
          <w:p>
            <w:pPr>
              <w:pStyle w:val="Compact"/>
            </w:pPr>
            <w:r>
              <w:t xml:space="preserve">Nonavailability determination</w:t>
            </w:r>
          </w:p>
        </w:tc>
        <w:tc>
          <w:tcPr/>
          <w:p>
            <w:pPr>
              <w:pStyle w:val="Compact"/>
            </w:pPr>
            <w:r>
              <w:t xml:space="preserve">DoD may issue individual or class nonavailability determinations when compliant materials cannot be procured as needed at a reasonable price; class determinations require public notice at least 30 days prior.</w:t>
            </w:r>
          </w:p>
        </w:tc>
        <w:tc>
          <w:tcPr/>
          <w:p>
            <w:pPr>
              <w:pStyle w:val="Compact"/>
            </w:pPr>
            <w:r>
              <w:t xml:space="preserve">Safety valve when no compliant supplier exists for a specified application, especially during transition periods.</w:t>
            </w:r>
          </w:p>
        </w:tc>
        <w:tc>
          <w:tcPr/>
          <w:p>
            <w:pPr>
              <w:pStyle w:val="Compact"/>
            </w:pPr>
            <w:r>
              <w:t xml:space="preserve">Build a defensible package of market research and alternative-source analysis in 2026 so the Government can act before Jan 1, 2027 if needed.</w:t>
            </w:r>
          </w:p>
        </w:tc>
      </w:tr>
    </w:tbl>
    <w:bookmarkEnd w:id="29"/>
    <w:bookmarkStart w:id="30" w:name="actions"/>
    <w:p>
      <w:pPr>
        <w:pStyle w:val="Heading2"/>
      </w:pPr>
      <w:r>
        <w:t xml:space="preserve">Actions</w:t>
      </w:r>
    </w:p>
    <w:p>
      <w:pPr>
        <w:pStyle w:val="FirstParagraph"/>
      </w:pPr>
      <w:r>
        <w:t xml:space="preserve">The most practical roadmap for primes is to back-plan from January 1, 2027 and treat the 2025–2026 window as the period for full bill-of-materials discovery, supplier qualification, and contracting actions.</w:t>
      </w:r>
    </w:p>
    <w:p>
      <w:pPr>
        <w:pStyle w:val="BodyText"/>
      </w:pPr>
      <w:r>
        <w:t xml:space="preserve">A time-bound sequence of actions is explicitly provided in one source and aligns with broader legal guidance to review supply chains and secure alternatives ahead of 2027. It is reproduced below because it maps well onto defense prime execution.</w:t>
      </w:r>
    </w:p>
    <w:p>
      <w:pPr>
        <w:pStyle w:val="Compact"/>
        <w:numPr>
          <w:ilvl w:val="0"/>
          <w:numId w:val="1001"/>
        </w:numPr>
      </w:pPr>
      <w:r>
        <w:t xml:space="preserve">Q3–Q4 2025: Conduct a supply chain audit for all magnet-containing assemblies.</w:t>
      </w:r>
    </w:p>
    <w:p>
      <w:pPr>
        <w:pStyle w:val="Compact"/>
        <w:numPr>
          <w:ilvl w:val="0"/>
          <w:numId w:val="1001"/>
        </w:numPr>
      </w:pPr>
      <w:r>
        <w:t xml:space="preserve">Q1 2026: Execute qualification testing on domestic/compliant magnet sources.</w:t>
      </w:r>
    </w:p>
    <w:p>
      <w:pPr>
        <w:pStyle w:val="Compact"/>
        <w:numPr>
          <w:ilvl w:val="0"/>
          <w:numId w:val="1001"/>
        </w:numPr>
      </w:pPr>
      <w:r>
        <w:t xml:space="preserve">Q2–Q3 2026: File nonavailability determinations if needed for January 2027.</w:t>
      </w:r>
    </w:p>
    <w:p>
      <w:pPr>
        <w:pStyle w:val="Compact"/>
        <w:numPr>
          <w:ilvl w:val="0"/>
          <w:numId w:val="1001"/>
        </w:numPr>
      </w:pPr>
      <w:r>
        <w:t xml:space="preserve">Q4 2026: Complete transition to compliant sources or secure waivers.</w:t>
      </w:r>
    </w:p>
    <w:p>
      <w:pPr>
        <w:pStyle w:val="FirstParagraph"/>
      </w:pPr>
      <w:r>
        <w:t xml:space="preserve">In addition, primes should align contract language and subcontractor management with DFARS flowdown requirements, because the DFARS clause requires insertion of the clause substance into subcontracts for items containing a covered material and prohibits altering the clause other than identifying parties.</w:t>
      </w:r>
    </w:p>
    <w:p>
      <w:pPr>
        <w:pStyle w:val="BodyText"/>
      </w:pPr>
      <w:r>
        <w:t xml:space="preserve">Where nonavailability determinations are required, primes should understand that class determinations entail an unavoidable procedural lead time because USD(A&amp;S) must publish notice of intent at least 30 days before a class nonavailability determination, and solicit and consider information from interested parties.</w:t>
      </w:r>
    </w:p>
    <w:bookmarkEnd w:id="30"/>
    <w:bookmarkStart w:id="31" w:name="risks"/>
    <w:p>
      <w:pPr>
        <w:pStyle w:val="Heading2"/>
      </w:pPr>
      <w:r>
        <w:t xml:space="preserve">Risks</w:t>
      </w:r>
    </w:p>
    <w:p>
      <w:pPr>
        <w:pStyle w:val="FirstParagraph"/>
      </w:pPr>
      <w:r>
        <w:t xml:space="preserve">The key schedule risk is that industrial capacity and qualification cycles may not converge by January 1, 2027 for all magnet types, especially SmCo. DoD notes that establishing new domestic sources for rare earths can take “a decade or longer,” which means primes should assume that some domestic supply pathways will remain capacity- or qualification-limited through 2027 even as new facilities open.</w:t>
      </w:r>
    </w:p>
    <w:p>
      <w:pPr>
        <w:pStyle w:val="BodyText"/>
      </w:pPr>
      <w:r>
        <w:t xml:space="preserve">A second risk is magnet-type asymmetry. For NdFeB, there is a narrow recycled-material exception if U.S. milling and U.S. sintering are performed, which creates a potentially faster compliance pathway for some NdFeB supply chains. For SmCo, the January 1, 2027 scope explicitly covers the entire supply chain “including recycled material,” and the Federal Register notes that amendments did not add exceptions for remaining covered materials, underscoring that SmCo risk must be managed primarily through compliant primary sourcing and/or nonavailability determinations (not via a recycled exception analogous to NdFeB).</w:t>
      </w:r>
    </w:p>
    <w:p>
      <w:pPr>
        <w:pStyle w:val="BodyText"/>
      </w:pPr>
      <w:r>
        <w:t xml:space="preserve">A third risk is the changing applicability of the COTS exemption. Guidance notes that, effective January 1, 2027, COTS items will be exempt unless they are 50% or more covered material by weight, which can pull some “previously assumed-exempt” assemblies back into compliance scope if they are magnet-dense or otherwise heavy in covered materials.</w:t>
      </w:r>
    </w:p>
    <w:p>
      <w:pPr>
        <w:pStyle w:val="BodyText"/>
      </w:pPr>
      <w:r>
        <w:t xml:space="preserve">A fourth risk is cost and near-term logistics friction driven by tariffs and export licensing. One industry source states that, as of July 2025, the effective U.S. tariff on Chinese-origin permanent magnets is 32.1%, and separately notes export licenses may take 45–60 days or longer—both of which can create cost and schedule shocks before the 2027 deadline and should be explicitly modeled in supply risk plans.</w:t>
      </w:r>
    </w:p>
    <w:p>
      <w:pPr>
        <w:pStyle w:val="BodyText"/>
      </w:pPr>
      <w:r>
        <w:t xml:space="preserve">Finally, primes should treat “supplier announced readiness” as helpful but not sufficient. For example, Arnold Magnetic Technologies states DFARS 252.225-7052 updated standards are effective January 1, 2027 and that it aims to achieve compliance by mid-2026, which suggests suppliers are actively preparing; however, primes must still execute their own traceability, qualification, and contract-flowdown work to ensure end-item compliance on delivery.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2026-02-12T15:34:27Z</dcterms:created>
  <dcterms:modified xsi:type="dcterms:W3CDTF">2026-02-12T15:34:27Z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