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327a40b84c749e81924b6a7585d009628652732"/>
    <w:p>
      <w:pPr>
        <w:pStyle w:val="Heading1"/>
      </w:pPr>
      <w:r>
        <w:t xml:space="preserve">EU Defense Procurement Rules for Rare Earth Permanent Magnets: REACH, Dual-Use Controls, and Critical Raw Materials Act</w:t>
      </w:r>
    </w:p>
    <w:bookmarkStart w:id="20" w:name="executive-summary"/>
    <w:p>
      <w:pPr>
        <w:pStyle w:val="Heading2"/>
      </w:pPr>
      <w:r>
        <w:t xml:space="preserve">Executive Summary</w:t>
      </w:r>
    </w:p>
    <w:p>
      <w:pPr>
        <w:pStyle w:val="FirstParagraph"/>
      </w:pPr>
      <w:r>
        <w:t xml:space="preserve">The European Union's regulatory framework for rare earth permanent magnets in the defense sector is a multi-layered system designed to enhance strategic autonomy and de-risk supply chains heavily dependent on China. Unlike the direct procurement prohibitions found in the US Defense Federal Acquisition Regulation Supplement (DFARS), the EU's approach is centered on industrial policy, capacity building, and market-shaping incentives. Key regulations include the European Critical Raw Materials Act (CRMA), which sets ambitious 2030 benchmarks for domestic extraction, processing, and recycling; the REACH regulation, which governs the use of chemical substances like cobalt; and the Dual-Use Export Control Regulation (2021/821), which manages the export of sensitive technologies including high-performance magnets.</w:t>
      </w:r>
    </w:p>
    <w:p>
      <w:pPr>
        <w:pStyle w:val="BodyText"/>
      </w:pPr>
      <w:r>
        <w:t xml:space="preserve">This regulatory suite is complemented by the European Defence Industrial Strategy (EDIS) and funding instruments like the European Defence Fund (EDF) and the European Defence Industry Programme (EDIP), which aim to bolster the European Defence Technological and Industrial Base (EDTIB) and encourage intra-EU sourcing. While the EU's legislative framework is less defense-specific than that of the US, its overarching goal is to mitigate geopolitical supply risks and foster a resilient domestic value chain for materials critical to defense, aerospace, and the green transition. For technology providers in the waste treatment and material recovery sector, these regulations—particularly the CRMA's aggressive recycling targets—create a significant market opportunity by establishing both a regulatory mandate and a strategic premium for recycled rare earth materials sourced within the Union.</w:t>
      </w:r>
    </w:p>
    <w:bookmarkEnd w:id="20"/>
    <w:bookmarkStart w:id="21" w:name="european-critical-raw-materials-act-crma"/>
    <w:p>
      <w:pPr>
        <w:pStyle w:val="Heading2"/>
      </w:pPr>
      <w:r>
        <w:t xml:space="preserve">European Critical Raw Materials Act (CRMA)</w:t>
      </w:r>
    </w:p>
    <w:p>
      <w:pPr>
        <w:pStyle w:val="FirstParagraph"/>
      </w:pPr>
      <w:r>
        <w:t xml:space="preserve">Adopted by the Council in March 2024 and entering into force in May 2024, the European Critical Raw Materials Act (CRMA), designated as Regulation (EU) 2024/1252, is the cornerstone of the EU's strategy to secure a sustainable supply of materials essential for its strategic sectors, including defense and aerospace. The Act explicitly identifies "rare earth elements for permanent magnets (Nd, Pr, Tb, Dy, Gd, Sm, and Ce)" as "strategic raw materials," placing them at the center of EU industrial policy.</w:t>
      </w:r>
    </w:p>
    <w:p>
      <w:pPr>
        <w:pStyle w:val="BodyText"/>
      </w:pPr>
      <w:r>
        <w:t xml:space="preserve">The CRMA establishes clear quantitative benchmarks to be achieved by 2030 to reduce the Union's external dependencies:</w:t>
      </w:r>
    </w:p>
    <w:p>
      <w:pPr>
        <w:pStyle w:val="Compact"/>
        <w:numPr>
          <w:ilvl w:val="0"/>
          <w:numId w:val="1001"/>
        </w:numPr>
      </w:pPr>
      <w:r>
        <w:rPr>
          <w:b/>
          <w:bCs/>
        </w:rPr>
        <w:t xml:space="preserve">EU Extraction</w:t>
      </w:r>
      <w:r>
        <w:t xml:space="preserve">: At least 10% of the EU's annual consumption from domestic extraction.</w:t>
      </w:r>
    </w:p>
    <w:p>
      <w:pPr>
        <w:pStyle w:val="Compact"/>
        <w:numPr>
          <w:ilvl w:val="0"/>
          <w:numId w:val="1001"/>
        </w:numPr>
      </w:pPr>
      <w:r>
        <w:rPr>
          <w:b/>
          <w:bCs/>
        </w:rPr>
        <w:t xml:space="preserve">EU Processing</w:t>
      </w:r>
      <w:r>
        <w:t xml:space="preserve">: At least 40% of the EU's annual consumption from domestic processing.</w:t>
      </w:r>
    </w:p>
    <w:p>
      <w:pPr>
        <w:pStyle w:val="Compact"/>
        <w:numPr>
          <w:ilvl w:val="0"/>
          <w:numId w:val="1001"/>
        </w:numPr>
      </w:pPr>
      <w:r>
        <w:rPr>
          <w:b/>
          <w:bCs/>
        </w:rPr>
        <w:t xml:space="preserve">EU Recycling</w:t>
      </w:r>
      <w:r>
        <w:t xml:space="preserve">: At least 25% of the EU's annual consumption from domestic recycling.</w:t>
      </w:r>
    </w:p>
    <w:p>
      <w:pPr>
        <w:pStyle w:val="Compact"/>
        <w:numPr>
          <w:ilvl w:val="0"/>
          <w:numId w:val="1001"/>
        </w:numPr>
      </w:pPr>
      <w:r>
        <w:rPr>
          <w:b/>
          <w:bCs/>
        </w:rPr>
        <w:t xml:space="preserve">Diversification</w:t>
      </w:r>
      <w:r>
        <w:t xml:space="preserve">: No more than 65% of the Union's annual consumption of each strategic raw material at any processing stage should come from a single third country.</w:t>
      </w:r>
    </w:p>
    <w:p>
      <w:pPr>
        <w:pStyle w:val="FirstParagraph"/>
      </w:pPr>
      <w:r>
        <w:t xml:space="preserve">To support these goals, the CRMA introduces "Strategic Projects" that can benefit from streamlined and predictable permitting timelines (e.g., 15 months for processing and recycling projects) and support in accessing finance.</w:t>
      </w:r>
    </w:p>
    <w:p>
      <w:pPr>
        <w:pStyle w:val="BodyText"/>
      </w:pPr>
      <w:r>
        <w:t xml:space="preserve">For permanent magnets specifically, the CRMA introduces circularity measures. It mandates that certain products (e.g., MRI devices, motor vehicles, industrial robots) bear a label indicating the presence and type of permanent magnets (NdFeB, SmCo, etc.). Furthermore, it requires a "data carrier" (akin to a product passport) with detailed information on the magnet's composition to aid recyclers. By May 2027, companies must publicly disclose the share of recycled content (Nd, Dy, Pr, Tb, B, Sm, Ni, Co) in their magnets, and the Commission is empowered to set minimum recycled content shares by 31 December 2031. Crucially, products primarily designed for defense or space applications are explicitly exempt from these labeling and recycled content disclosure requirements.</w:t>
      </w:r>
    </w:p>
    <w:bookmarkEnd w:id="21"/>
    <w:bookmarkStart w:id="22" w:name="X968f672eb4a47a98e678a916e7e5da9b9dc15e8"/>
    <w:p>
      <w:pPr>
        <w:pStyle w:val="Heading2"/>
      </w:pPr>
      <w:r>
        <w:t xml:space="preserve">REACH Regulation and Rare Earth Substances</w:t>
      </w:r>
    </w:p>
    <w:p>
      <w:pPr>
        <w:pStyle w:val="FirstParagraph"/>
      </w:pPr>
      <w:r>
        <w:t xml:space="preserve">The EU's regulation on the Registration, Evaluation, Authorisation and Restriction of Chemicals (REACH), Regulation (EC) No 1907/2006, governs the use of chemical substances and their potential impacts on human health and the environment. This framework intersects with the high-temperature magnet supply chain, particularly concerning cobalt, a key constituent of SmCo magnets.</w:t>
      </w:r>
    </w:p>
    <w:p>
      <w:pPr>
        <w:pStyle w:val="BodyText"/>
      </w:pPr>
      <w:r>
        <w:t xml:space="preserve">Cobalt and its compounds have been under scrutiny within REACH, with some being placed on the Candidate List of substances of very high concern (SVHC). This can trigger obligations for suppliers and may lead to future restrictions. The CRMA acknowledges this intersection, stating that the Commission will consider the "specific operational realities of the extractive, recycling and processing sectors" in any revision of REACH to ensure policy coherence. The regulatory landscape also includes restrictions on other processing agents like boric acid and rules on workplace exposure, which affect magnet manufacturing processes. For defense applications, compliance with REACH is mandatory, and any future restrictions on cobalt or rare earth compounds could significantly impact the availability and cost of qualified magnetic materials.</w:t>
      </w:r>
    </w:p>
    <w:bookmarkEnd w:id="22"/>
    <w:bookmarkStart w:id="23" w:name="X45475b03c45501099d69a4750ab31e777f4093c"/>
    <w:p>
      <w:pPr>
        <w:pStyle w:val="Heading2"/>
      </w:pPr>
      <w:r>
        <w:t xml:space="preserve">Dual-Use Export Controls (Regulation 2021/821)</w:t>
      </w:r>
    </w:p>
    <w:p>
      <w:pPr>
        <w:pStyle w:val="FirstParagraph"/>
      </w:pPr>
      <w:r>
        <w:t xml:space="preserve">The export of high-performance permanent magnets from the EU is governed by Regulation (EU) 2021/821, which establishes a Union-wide regime for the control of "dual-use items"—goods, software, and technology that can be used for both civil and military purposes. An export authorisation is required for any items listed in Annex I of the regulation.</w:t>
      </w:r>
    </w:p>
    <w:p>
      <w:pPr>
        <w:pStyle w:val="BodyText"/>
      </w:pPr>
      <w:r>
        <w:t xml:space="preserve">This regulation is directly relevant to high-performance samarium-cobalt (SmCo) and high-coercivity neodymium-iron-boron (NdFeB) magnets, which have critical applications in military systems like guided munitions, drones, and aerospace actuators. The control lists can be based on technical parameters, such as a magnet's maximum energy product (BHmax), which determines its strength. The Commission is empowered to update these control lists via delegated acts to reflect changes in international export control regimes like the Wassenaar Arrangement. Exporters of controlled magnets must navigate a complex licensing process, which may require individual, per-order authorizations and detailed end-use statements, and maintain detailed records for at least five years.</w:t>
      </w:r>
    </w:p>
    <w:bookmarkEnd w:id="23"/>
    <w:bookmarkStart w:id="24" w:name="X4ba6d56ed3cd034a79b80ce225579d178222109"/>
    <w:p>
      <w:pPr>
        <w:pStyle w:val="Heading2"/>
      </w:pPr>
      <w:r>
        <w:t xml:space="preserve">EU Defence Procurement Directive (2009/81/EC)</w:t>
      </w:r>
    </w:p>
    <w:p>
      <w:pPr>
        <w:pStyle w:val="FirstParagraph"/>
      </w:pPr>
      <w:r>
        <w:t xml:space="preserve">Directive 2009/81/EC sets out specific EU-wide rules for the procurement of arms, munitions, and sensitive security equipment. A key objective of the directive is to balance the principles of the internal market with the security interests of Member States, including the security of supply. The directive allows contracting authorities to impose requirements related to security of supply in tender documents, which can be used to favor more resilient and local supply chains.</w:t>
      </w:r>
    </w:p>
    <w:p>
      <w:pPr>
        <w:pStyle w:val="BodyText"/>
      </w:pPr>
      <w:r>
        <w:t xml:space="preserve">While the directive aims to create a more open and competitive European defense market, Member States frequently invoke Article 346 of the Treaty on the Functioning of the European Union (TFEU) to exempt certain defense procurements from EU rules, citing the protection of essential national security interests. The European Defence Industrial Strategy (EDIS) and related instruments like EDIRPA aim to encourage more coordinated procurement and strengthen the application of EU rules to bolster the European Defence Technological and Industrial Base (EDTIB). As part of the RESourceEU action plan, the Commission is exploring revisions to the Defence Procurement Directive to include incentives for diversifying critical raw material supplies.</w:t>
      </w:r>
    </w:p>
    <w:bookmarkEnd w:id="24"/>
    <w:bookmarkStart w:id="25" w:name="X44d5df5850798b788852f4729d472fbd469bc72"/>
    <w:p>
      <w:pPr>
        <w:pStyle w:val="Heading2"/>
      </w:pPr>
      <w:r>
        <w:t xml:space="preserve">EU Defence Industrial Strategy and Strategic Autonomy</w:t>
      </w:r>
    </w:p>
    <w:p>
      <w:pPr>
        <w:pStyle w:val="FirstParagraph"/>
      </w:pPr>
      <w:r>
        <w:t xml:space="preserve">The EU's industrial strategy for defense is centered on achieving "strategic autonomy" and de-risking from geopolitical dependencies, particularly on China for critical raw materials and components. This strategy is being implemented through a combination of policy initiatives and funding instruments.</w:t>
      </w:r>
    </w:p>
    <w:p>
      <w:pPr>
        <w:pStyle w:val="BodyText"/>
      </w:pPr>
      <w:r>
        <w:t xml:space="preserve">The</w:t>
      </w:r>
      <w:r>
        <w:t xml:space="preserve"> </w:t>
      </w:r>
      <w:r>
        <w:rPr>
          <w:b/>
          <w:bCs/>
        </w:rPr>
        <w:t xml:space="preserve">European Defence Industrial Strategy (EDIS)</w:t>
      </w:r>
      <w:r>
        <w:t xml:space="preserve"> </w:t>
      </w:r>
      <w:r>
        <w:t xml:space="preserve">and the</w:t>
      </w:r>
      <w:r>
        <w:t xml:space="preserve"> </w:t>
      </w:r>
      <w:r>
        <w:rPr>
          <w:b/>
          <w:bCs/>
        </w:rPr>
        <w:t xml:space="preserve">European Defence Industry Programme (EDIP)</w:t>
      </w:r>
      <w:r>
        <w:t xml:space="preserve"> </w:t>
      </w:r>
      <w:r>
        <w:t xml:space="preserve">aim to enhance the readiness and resilience of the EDTIB. A key proposal invites Member States to procure at least 50% of their defense investments within the EU by 2030, rising to 60% by 2035. Instruments like the</w:t>
      </w:r>
      <w:r>
        <w:t xml:space="preserve"> </w:t>
      </w:r>
      <w:r>
        <w:rPr>
          <w:b/>
          <w:bCs/>
        </w:rPr>
        <w:t xml:space="preserve">European Defence Industry Reinforcement through common Procurement Act (EDIRPA)</w:t>
      </w:r>
      <w:r>
        <w:t xml:space="preserve">, with a budget of €300 million until 2025, introduce strict sourcing requirements. For a project to receive support, contractors must be established in the EU and not controlled by a third country, and the cost of components originating in the Union must be no lower than 65% of the end product's value.</w:t>
      </w:r>
    </w:p>
    <w:p>
      <w:pPr>
        <w:pStyle w:val="BodyText"/>
      </w:pPr>
      <w:r>
        <w:t xml:space="preserve">The</w:t>
      </w:r>
      <w:r>
        <w:t xml:space="preserve"> </w:t>
      </w:r>
      <w:r>
        <w:rPr>
          <w:b/>
          <w:bCs/>
        </w:rPr>
        <w:t xml:space="preserve">European Defence Fund (EDF)</w:t>
      </w:r>
      <w:r>
        <w:t xml:space="preserve">, with a budget of over €1 billion per year (2021-2027), funds collaborative research and development to foster innovation within the EDTIB. These programs are designed to work in synergy with the CRMA, leveraging defense spending to create a stable demand for domestically produced critical materials like rare earth magnets.</w:t>
      </w:r>
    </w:p>
    <w:bookmarkEnd w:id="25"/>
    <w:bookmarkStart w:id="26" w:name="X9f7928f2aba9f56e31152165918ff02d415c4d1"/>
    <w:p>
      <w:pPr>
        <w:pStyle w:val="Heading2"/>
      </w:pPr>
      <w:r>
        <w:t xml:space="preserve">European Rare Earth Magnet Production Capacity</w:t>
      </w:r>
    </w:p>
    <w:p>
      <w:pPr>
        <w:pStyle w:val="FirstParagraph"/>
      </w:pPr>
      <w:r>
        <w:t xml:space="preserve">The EU's domestic production capacity for high-performance rare earth magnets is limited, representing a significant vulnerability. Current European production is estimated at around 1,000 tonnes per year, compared to approximately 16,000 tonnes of magnets imported from China annually. This means the EU is over 90% dependent on China for these critical components.</w:t>
      </w:r>
    </w:p>
    <w:p>
      <w:pPr>
        <w:pStyle w:val="BodyText"/>
      </w:pPr>
      <w:r>
        <w:t xml:space="preserve">The key established producer in Europe is</w:t>
      </w:r>
      <w:r>
        <w:t xml:space="preserve"> </w:t>
      </w:r>
      <w:r>
        <w:rPr>
          <w:b/>
          <w:bCs/>
        </w:rPr>
        <w:t xml:space="preserve">Vacuumschmelze (VAC)</w:t>
      </w:r>
      <w:r>
        <w:t xml:space="preserve"> </w:t>
      </w:r>
      <w:r>
        <w:t xml:space="preserve">in Germany, which has been making SmCo magnets since 1973 and NdFeB magnets since 1985. Other notable players include</w:t>
      </w:r>
      <w:r>
        <w:t xml:space="preserve"> </w:t>
      </w:r>
      <w:r>
        <w:rPr>
          <w:b/>
          <w:bCs/>
        </w:rPr>
        <w:t xml:space="preserve">Less Common Metals (LCM)</w:t>
      </w:r>
      <w:r>
        <w:t xml:space="preserve"> </w:t>
      </w:r>
      <w:r>
        <w:t xml:space="preserve">in the UK and a</w:t>
      </w:r>
      <w:r>
        <w:t xml:space="preserve"> </w:t>
      </w:r>
      <w:r>
        <w:rPr>
          <w:b/>
          <w:bCs/>
        </w:rPr>
        <w:t xml:space="preserve">Shin-Etsu</w:t>
      </w:r>
      <w:r>
        <w:t xml:space="preserve"> </w:t>
      </w:r>
      <w:r>
        <w:t xml:space="preserve">facility in Germany. However, the landscape is evolving. The European Raw Materials Alliance (ERMA) has identified 14 "mine-to-magnet" projects with a potential investment volume of €1.7 billion, aiming to recapture a significant share of global production. New entrants are also emerging, such as</w:t>
      </w:r>
      <w:r>
        <w:t xml:space="preserve"> </w:t>
      </w:r>
      <w:r>
        <w:rPr>
          <w:b/>
          <w:bCs/>
        </w:rPr>
        <w:t xml:space="preserve">Neo Performance Materials'</w:t>
      </w:r>
      <w:r>
        <w:t xml:space="preserve"> </w:t>
      </w:r>
      <w:r>
        <w:t xml:space="preserve">commercial magnet plant in Estonia and recycling initiatives by companies like</w:t>
      </w:r>
      <w:r>
        <w:t xml:space="preserve"> </w:t>
      </w:r>
      <w:r>
        <w:rPr>
          <w:b/>
          <w:bCs/>
        </w:rPr>
        <w:t xml:space="preserve">Solvay</w:t>
      </w:r>
      <w:r>
        <w:t xml:space="preserve"> </w:t>
      </w:r>
      <w:r>
        <w:t xml:space="preserve">and</w:t>
      </w:r>
      <w:r>
        <w:t xml:space="preserve"> </w:t>
      </w:r>
      <w:r>
        <w:rPr>
          <w:b/>
          <w:bCs/>
        </w:rPr>
        <w:t xml:space="preserve">Carester</w:t>
      </w:r>
      <w:r>
        <w:t xml:space="preserve"> </w:t>
      </w:r>
      <w:r>
        <w:t xml:space="preserve">in France. These recyclers could contribute an estimated 3,800 tonnes of magnet production in the coming years if sufficient feedstock is available.</w:t>
      </w:r>
    </w:p>
    <w:bookmarkEnd w:id="26"/>
    <w:bookmarkStart w:id="27" w:name="X0c4ac99a492b16e0b1a4ea725bbac78c2f48a3b"/>
    <w:p>
      <w:pPr>
        <w:pStyle w:val="Heading2"/>
      </w:pPr>
      <w:r>
        <w:t xml:space="preserve">Comparison: EU vs US Regulatory Approaches</w:t>
      </w:r>
    </w:p>
    <w:p>
      <w:pPr>
        <w:pStyle w:val="FirstParagraph"/>
      </w:pPr>
      <w:r>
        <w:t xml:space="preserve">The EU and the US share the strategic goal of securing rare earth magnet supply chains but employ different primary regulatory mechanisms. The US approach is more direct and defense-focused, while the EU's is broader, more integrated into industrial policy, and relies more on market incentives and benchmarks.</w:t>
      </w:r>
    </w:p>
    <w:p>
      <w:pPr>
        <w:pStyle w:val="BodyText"/>
      </w:pPr>
      <w:r>
        <w:t xml:space="preserve">The table below outlines the key differences: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EU Approach</w:t>
            </w:r>
          </w:p>
        </w:tc>
        <w:tc>
          <w:tcPr/>
          <w:p>
            <w:pPr>
              <w:pStyle w:val="Compact"/>
            </w:pPr>
            <w:r>
              <w:t xml:space="preserve">US Approach</w:t>
            </w:r>
          </w:p>
        </w:tc>
      </w:tr>
      <w:tr>
        <w:tc>
          <w:tcPr/>
          <w:p>
            <w:pPr>
              <w:pStyle w:val="Compact"/>
            </w:pPr>
            <w:r>
              <w:rPr>
                <w:b/>
                <w:bCs/>
              </w:rPr>
              <w:t xml:space="preserve">Primary Instrument</w:t>
            </w:r>
          </w:p>
        </w:tc>
        <w:tc>
          <w:tcPr/>
          <w:p>
            <w:pPr>
              <w:pStyle w:val="Compact"/>
            </w:pPr>
            <w:r>
              <w:rPr>
                <w:b/>
                <w:bCs/>
              </w:rPr>
              <w:t xml:space="preserve">Critical Raw Materials Act (CRMA)</w:t>
            </w:r>
            <w:r>
              <w:t xml:space="preserve">: Sets EU-wide benchmarks for domestic extraction (10%), processing (40%), and recycling (25%) by 2030.</w:t>
            </w:r>
          </w:p>
        </w:tc>
        <w:tc>
          <w:tcPr/>
          <w:p>
            <w:pPr>
              <w:pStyle w:val="Compact"/>
            </w:pPr>
            <w:r>
              <w:rPr>
                <w:b/>
                <w:bCs/>
              </w:rPr>
              <w:t xml:space="preserve">DFARS 252.225-7052</w:t>
            </w:r>
            <w:r>
              <w:t xml:space="preserve">: Direct procurement prohibition on SmCo and NdFeB magnets and alloys from "covered countries" (China, Russia, etc.).</w:t>
            </w:r>
          </w:p>
        </w:tc>
      </w:tr>
      <w:tr>
        <w:tc>
          <w:tcPr/>
          <w:p>
            <w:pPr>
              <w:pStyle w:val="Compact"/>
            </w:pPr>
            <w:r>
              <w:rPr>
                <w:b/>
                <w:bCs/>
              </w:rPr>
              <w:t xml:space="preserve">Core Mechanism</w:t>
            </w:r>
          </w:p>
        </w:tc>
        <w:tc>
          <w:tcPr/>
          <w:p>
            <w:pPr>
              <w:pStyle w:val="Compact"/>
            </w:pPr>
            <w:r>
              <w:rPr>
                <w:b/>
                <w:bCs/>
              </w:rPr>
              <w:t xml:space="preserve">Industrial Policy &amp; Market Shaping</w:t>
            </w:r>
            <w:r>
              <w:t xml:space="preserve">: Uses targets, streamlined permitting for "Strategic Projects," and future recycled-content mandates to build domestic capacity.</w:t>
            </w:r>
          </w:p>
        </w:tc>
        <w:tc>
          <w:tcPr/>
          <w:p>
            <w:pPr>
              <w:pStyle w:val="Compact"/>
            </w:pPr>
            <w:r>
              <w:rPr>
                <w:b/>
                <w:bCs/>
              </w:rPr>
              <w:t xml:space="preserve">Procurement Prohibition</w:t>
            </w:r>
            <w:r>
              <w:t xml:space="preserve">: Directly bans the acquisition of non-compliant materials for Department of Defense contracts, creating a protected domestic market.</w:t>
            </w:r>
          </w:p>
        </w:tc>
      </w:tr>
      <w:tr>
        <w:tc>
          <w:tcPr/>
          <w:p>
            <w:pPr>
              <w:pStyle w:val="Compact"/>
            </w:pPr>
            <w:r>
              <w:rPr>
                <w:b/>
                <w:bCs/>
              </w:rPr>
              <w:t xml:space="preserve">Timeline</w:t>
            </w:r>
          </w:p>
        </w:tc>
        <w:tc>
          <w:tcPr/>
          <w:p>
            <w:pPr>
              <w:pStyle w:val="Compact"/>
            </w:pPr>
            <w:r>
              <w:rPr>
                <w:b/>
                <w:bCs/>
              </w:rPr>
              <w:t xml:space="preserve">2030 Benchmarks</w:t>
            </w:r>
            <w:r>
              <w:t xml:space="preserve">: Long-term capacity-building goals. Specific mandates like minimum recycled content are phased in by 2031.</w:t>
            </w:r>
          </w:p>
        </w:tc>
        <w:tc>
          <w:tcPr/>
          <w:p>
            <w:pPr>
              <w:pStyle w:val="Compact"/>
            </w:pPr>
            <w:r>
              <w:rPr>
                <w:b/>
                <w:bCs/>
              </w:rPr>
              <w:t xml:space="preserve">January 1, 2027 Deadline</w:t>
            </w:r>
            <w:r>
              <w:t xml:space="preserve">: Hard deadline for the expanded prohibition to cover the entire supply chain from mine to magnet.</w:t>
            </w:r>
          </w:p>
        </w:tc>
      </w:tr>
      <w:tr>
        <w:tc>
          <w:tcPr/>
          <w:p>
            <w:pPr>
              <w:pStyle w:val="Compact"/>
            </w:pPr>
            <w:r>
              <w:rPr>
                <w:b/>
                <w:bCs/>
              </w:rPr>
              <w:t xml:space="preserve">Recycling</w:t>
            </w:r>
          </w:p>
        </w:tc>
        <w:tc>
          <w:tcPr/>
          <w:p>
            <w:pPr>
              <w:pStyle w:val="Compact"/>
            </w:pPr>
            <w:r>
              <w:rPr>
                <w:b/>
                <w:bCs/>
              </w:rPr>
              <w:t xml:space="preserve">Central Pillar</w:t>
            </w:r>
            <w:r>
              <w:t xml:space="preserve">: 25% recycling capacity target by 2030; upcoming restrictions on scrap exports to retain feedstock within the EU.</w:t>
            </w:r>
          </w:p>
        </w:tc>
        <w:tc>
          <w:tcPr/>
          <w:p>
            <w:pPr>
              <w:pStyle w:val="Compact"/>
            </w:pPr>
            <w:r>
              <w:rPr>
                <w:b/>
                <w:bCs/>
              </w:rPr>
              <w:t xml:space="preserve">Specific Exemption</w:t>
            </w:r>
            <w:r>
              <w:t xml:space="preserve">: Allows the use of NdFeB magnets made from recycled material if the milling and sintering steps occur in the US.</w:t>
            </w:r>
          </w:p>
        </w:tc>
      </w:tr>
      <w:tr>
        <w:tc>
          <w:tcPr/>
          <w:p>
            <w:pPr>
              <w:pStyle w:val="Compact"/>
            </w:pPr>
            <w:r>
              <w:rPr>
                <w:b/>
                <w:bCs/>
              </w:rPr>
              <w:t xml:space="preserve">Funding Approach</w:t>
            </w:r>
          </w:p>
        </w:tc>
        <w:tc>
          <w:tcPr/>
          <w:p>
            <w:pPr>
              <w:pStyle w:val="Compact"/>
            </w:pPr>
            <w:r>
              <w:rPr>
                <w:b/>
                <w:bCs/>
              </w:rPr>
              <w:t xml:space="preserve">Coordination of Funds</w:t>
            </w:r>
            <w:r>
              <w:t xml:space="preserve">: Relies on leveraging existing EU funds (EDF, InvestEU) and national programs via a CRM financing hub. No new central fund was created by CRMA.</w:t>
            </w:r>
          </w:p>
        </w:tc>
        <w:tc>
          <w:tcPr/>
          <w:p>
            <w:pPr>
              <w:pStyle w:val="Compact"/>
            </w:pPr>
            <w:r>
              <w:rPr>
                <w:b/>
                <w:bCs/>
              </w:rPr>
              <w:t xml:space="preserve">Direct Investment</w:t>
            </w:r>
            <w:r>
              <w:t xml:space="preserve">: The DoD has made direct investments (e.g., over $439 million) and equity stakes (e.g., MP Materials) via the Defense Production Act (DPA).</w:t>
            </w:r>
          </w:p>
        </w:tc>
      </w:tr>
      <w:tr>
        <w:tc>
          <w:tcPr/>
          <w:p>
            <w:pPr>
              <w:pStyle w:val="Compact"/>
            </w:pPr>
            <w:r>
              <w:rPr>
                <w:b/>
                <w:bCs/>
              </w:rPr>
              <w:t xml:space="preserve">Defense-Specific Rules</w:t>
            </w:r>
          </w:p>
        </w:tc>
        <w:tc>
          <w:tcPr/>
          <w:p>
            <w:pPr>
              <w:pStyle w:val="Compact"/>
            </w:pPr>
            <w:r>
              <w:rPr>
                <w:b/>
                <w:bCs/>
              </w:rPr>
              <w:t xml:space="preserve">Exemptions</w:t>
            </w:r>
            <w:r>
              <w:t xml:space="preserve">: Defense and space products are</w:t>
            </w:r>
            <w:r>
              <w:t xml:space="preserve"> </w:t>
            </w:r>
            <w:r>
              <w:rPr>
                <w:i/>
                <w:iCs/>
              </w:rPr>
              <w:t xml:space="preserve">exempt</w:t>
            </w:r>
            <w:r>
              <w:t xml:space="preserve"> </w:t>
            </w:r>
            <w:r>
              <w:t xml:space="preserve">from CRMA's magnet labeling and recycled content disclosure rules. Sourcing rules are in separate defense programs (e.g., EDIRPA).</w:t>
            </w:r>
          </w:p>
        </w:tc>
        <w:tc>
          <w:tcPr/>
          <w:p>
            <w:pPr>
              <w:pStyle w:val="Compact"/>
            </w:pPr>
            <w:r>
              <w:rPr>
                <w:b/>
                <w:bCs/>
              </w:rPr>
              <w:t xml:space="preserve">Core Focus</w:t>
            </w:r>
            <w:r>
              <w:t xml:space="preserve">: The DFARS rule is</w:t>
            </w:r>
            <w:r>
              <w:t xml:space="preserve"> </w:t>
            </w:r>
            <w:r>
              <w:rPr>
                <w:i/>
                <w:iCs/>
              </w:rPr>
              <w:t xml:space="preserve">exclusively</w:t>
            </w:r>
            <w:r>
              <w:t xml:space="preserve"> </w:t>
            </w:r>
            <w:r>
              <w:t xml:space="preserve">for defense procurement and imposes the strictest sourcing requirements on this sector.</w:t>
            </w:r>
          </w:p>
        </w:tc>
      </w:tr>
    </w:tbl>
    <w:bookmarkEnd w:id="27"/>
    <w:bookmarkStart w:id="28" w:name="X5a9104f058843e245208a25789940941b577e6c"/>
    <w:p>
      <w:pPr>
        <w:pStyle w:val="Heading2"/>
      </w:pPr>
      <w:r>
        <w:t xml:space="preserve">Implications for Algamol and Waste Treatment</w:t>
      </w:r>
    </w:p>
    <w:p>
      <w:pPr>
        <w:pStyle w:val="FirstParagraph"/>
      </w:pPr>
      <w:r>
        <w:t xml:space="preserve">The EU's comprehensive regulatory framework, particularly the CRMA, creates a fertile market for advanced material recovery and wastewater treatment technologies like Algamol. The key opportunities are driven by several interconnected factors:</w:t>
      </w:r>
    </w:p>
    <w:p>
      <w:pPr>
        <w:numPr>
          <w:ilvl w:val="0"/>
          <w:numId w:val="1002"/>
        </w:numPr>
      </w:pPr>
      <w:r>
        <w:rPr>
          <w:b/>
          <w:bCs/>
        </w:rPr>
        <w:t xml:space="preserve">Mandated Recycling Capacity</w:t>
      </w:r>
      <w:r>
        <w:t xml:space="preserve">: The CRMA's benchmark for the EU to have the capacity to recycle 25% of its annual strategic raw material consumption by 2030 is a powerful market signal. With current REE recycling rates below 1%, achieving this target requires massive investment in new technologies and facilities, creating demand for efficient and environmentally sound recovery processes.</w:t>
      </w:r>
    </w:p>
    <w:p>
      <w:pPr>
        <w:numPr>
          <w:ilvl w:val="0"/>
          <w:numId w:val="1002"/>
        </w:numPr>
      </w:pPr>
      <w:r>
        <w:rPr>
          <w:b/>
          <w:bCs/>
        </w:rPr>
        <w:t xml:space="preserve">Restrictions on Scrap Exports</w:t>
      </w:r>
      <w:r>
        <w:t xml:space="preserve">: The Commission's plan to propose restrictions on the export of permanent magnet scrap and waste by Q2 2026 will trap valuable feedstock within the EU. This ensures that domestic recyclers and technology providers will have access to the raw materials needed to build a circular economy, turning a waste stream into a strategic asset.</w:t>
      </w:r>
    </w:p>
    <w:p>
      <w:pPr>
        <w:numPr>
          <w:ilvl w:val="0"/>
          <w:numId w:val="1002"/>
        </w:numPr>
      </w:pPr>
      <w:r>
        <w:rPr>
          <w:b/>
          <w:bCs/>
        </w:rPr>
        <w:t xml:space="preserve">Future Minimum Recycled Content</w:t>
      </w:r>
      <w:r>
        <w:t xml:space="preserve">: The CRMA empowers the Commission to set minimum recycled content shares for elements like neodymium, dysprosium, and samarium in new permanent magnets by 2031. This will create direct, legally binding demand for high-purity recycled materials that technologies like Algamol could recover from machining sludge and other waste streams.</w:t>
      </w:r>
    </w:p>
    <w:p>
      <w:pPr>
        <w:numPr>
          <w:ilvl w:val="0"/>
          <w:numId w:val="1002"/>
        </w:numPr>
      </w:pPr>
      <w:r>
        <w:rPr>
          <w:b/>
          <w:bCs/>
        </w:rPr>
        <w:t xml:space="preserve">Strategic Value Premium</w:t>
      </w:r>
      <w:r>
        <w:t xml:space="preserve">: Beyond commodity value, domestically recycled and recovered rare earths will carry a "strategic premium." For defense contractors and other critical industries, using materials recovered within the EU contributes directly to the strategic autonomy and supply chain resilience goals of the CRMA and EDIS. This can be a significant advantage in public procurement, where resilience and security of supply are increasingly important criteria.</w:t>
      </w:r>
    </w:p>
    <w:p>
      <w:pPr>
        <w:numPr>
          <w:ilvl w:val="0"/>
          <w:numId w:val="1002"/>
        </w:numPr>
      </w:pPr>
      <w:r>
        <w:rPr>
          <w:b/>
          <w:bCs/>
        </w:rPr>
        <w:t xml:space="preserve">REACH Compliance</w:t>
      </w:r>
      <w:r>
        <w:t xml:space="preserve">: As regulations like REACH place increasing scrutiny on substances like cobalt, recovering these materials from waste streams for reuse becomes more economically and regulatorily attractive than disposal or sourcing primary materials from regions with less stringent environmental oversight.</w:t>
      </w:r>
    </w:p>
    <w:p>
      <w:pPr>
        <w:pStyle w:val="FirstParagraph"/>
      </w:pPr>
      <w:r>
        <w:t xml:space="preserve">Together, these drivers create a compelling business case for deploying wastewater and material recovery solutions at magnet manufacturing and finishing facilities across the EU. The CRMA's targets transform waste treatment from a cost center into a strategic enabler for the entire European defense and high-tech industrial base.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2026-02-12T17:54:32Z</dcterms:created>
  <dcterms:modified xsi:type="dcterms:W3CDTF">2026-02-12T17:54:32Z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