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5c44a181d9374d797a00798147a04b08ba0e87"/>
    <w:p>
      <w:pPr>
        <w:pStyle w:val="Heading1"/>
      </w:pPr>
      <w:r>
        <w:t xml:space="preserve">Strategic Briefing: High-Temperature Rare Earth Permanent Magnets in the Defense Sector - Key Findings and Algamol Market Opportunity</w:t>
      </w:r>
    </w:p>
    <w:bookmarkStart w:id="20" w:name="X78610ef42e1c368ba2882360471cf0186cfe4af"/>
    <w:p>
      <w:pPr>
        <w:pStyle w:val="Heading2"/>
      </w:pPr>
      <w:r>
        <w:t xml:space="preserve">1. The Defense Magnet Market</w:t>
      </w:r>
    </w:p>
    <w:p>
      <w:pPr>
        <w:pStyle w:val="FirstParagraph"/>
      </w:pPr>
      <w:r>
        <w:t xml:space="preserve">Rare-earth permanent magnets are enabling components across major defense platforms and subsystems, with DoD explicitly citing their importance across aircraft, submarines, and UAVs. The scale of rare-earth usage at the platform level is substantial; DoD cites that an F-35 requires more than 900 lb of rare earth elements (REEs), an Arleigh Burke DDG-51 destroyer about 5,200 lb, and a Virginia-class submarine about 9,200 lb, which underscores why magnet availability and provenance have become procurement-critical.</w:t>
      </w:r>
    </w:p>
    <w:p>
      <w:pPr>
        <w:pStyle w:val="BodyText"/>
      </w:pPr>
      <w:r>
        <w:t xml:space="preserve">For high-temperature, high-reliability defense environments (roughly 150–550°C), the source base points to two primary material families. Samarium-cobalt (SmCo5 and Sm2Co17) magnets are repeatedly described as offering strong hard-magnetic properties, thermal stability, and corrosion resistance, and as preferred for high-temperature applications (e.g., 200–550°C). High-temperature NdFeB is positioned as viable mainly by coercivity-engineering: heavy rare earth (HREE) additions (Dy/Tb) to prevent demagnetization around 150–200°C, plus microstructure engineering such as grain-boundary diffusion (GBD) to raise coercivity without bulk HREE loading.</w:t>
      </w:r>
    </w:p>
    <w:p>
      <w:pPr>
        <w:pStyle w:val="BodyText"/>
      </w:pPr>
      <w:r>
        <w:t xml:space="preserve">Quantitatively, SmCo magnets are reported to span roughly 16–33 MGOe in (BH)max across grades and processing conditions. A specific Sm2Co17-grade example (EEC 2:17-27) is reported at (BH)max 26–28 MGOe with intrinsic coercivity 34.1–36.1 kOe and Br 10.5–10.8 kGs, which is directionally consistent with the “high-temperature” use case emphasized for SmCo in defense subsystems. Commercial SmCo grade data (e.g., VACOMAX) also explicitly cites (BH)max in the ~20–33 MGOe range and maximum operating temperature up to ~350°C for some alloys, providing a practical “catalog anchor” for high-temperature procurement and qualification decisions.</w:t>
      </w:r>
    </w:p>
    <w:p>
      <w:pPr>
        <w:pStyle w:val="BodyText"/>
      </w:pPr>
      <w:r>
        <w:t xml:space="preserve">On the supply side, the public record emphasizes structural concentration risk in upstream REE supply chains. GAO summarizes rare-earth supply chains as global and multi-tiered, with China dominating mining and processing stages, and with many supply-chain nodes between ore and delivered defense components. Related policy/legal commentary also quantifies China’s position as ~60% of rare earth mining and ~90% of rare earth processing (2023), which is a key driver of Western “re-shoring” and recycling push strategies.</w:t>
      </w:r>
    </w:p>
    <w:p>
      <w:pPr>
        <w:pStyle w:val="BodyText"/>
      </w:pPr>
      <w:r>
        <w:t xml:space="preserve">A small set of defense-relevant suppliers recur across the sources for “defense-grade” magnets and assemblies. Examples include Electron Energy Corporation (EEC), which states it purchases pure raw materials (Sm, Co, Fe, Cu, Zr) for in-house production of SmCo alloys and is ITAR/DDTC registered with AS9100D/ISO 9001 certification, and Arnold, which cites ITAR-registered supply chain for its SmCo RECOMA products and lists AS9100/ISO 9001 certifications, signaling a defense-ready compliance posture. VACUUMSCHMELZE is positioned in the source set as a leading global manufacturer of advanced magnetic materials and as the source of VACOMAX SmCo material and downstream processing capabilities including wire-EDM, which matters because machining and tight tolerances are a central cost/yield driver for defense magnets.</w:t>
      </w:r>
    </w:p>
    <w:bookmarkEnd w:id="20"/>
    <w:bookmarkStart w:id="21" w:name="X3b4a2c738ff6c13da7d08c1551e0d0a66eb6608"/>
    <w:p>
      <w:pPr>
        <w:pStyle w:val="Heading2"/>
      </w:pPr>
      <w:r>
        <w:t xml:space="preserve">2. The Waste Problem</w:t>
      </w:r>
    </w:p>
    <w:p>
      <w:pPr>
        <w:pStyle w:val="FirstParagraph"/>
      </w:pPr>
      <w:r>
        <w:t xml:space="preserve">The machining stage is consistently described as the dominant driver of material loss and waste generation for sintered rare-earth magnets, because sintered magnets cannot be produced directly to final, precise shapes and are therefore made as bulk blocks that must undergo extensive machining and grinding to meet final geometry and tolerances. One public U.S. report states machining recovery rates of 60–90% depending on size/complexity, implying 10–40% of material becomes machining waste in many cases, and explicitly identifies machining as the step with the greatest material loss.</w:t>
      </w:r>
    </w:p>
    <w:p>
      <w:pPr>
        <w:pStyle w:val="BodyText"/>
      </w:pPr>
      <w:r>
        <w:t xml:space="preserve">Across the broader magnet manufacturing literature, reported waste fractions can be even higher for certain shapes: multiple sources cite 6–73% of raw material becoming swarf depending on final magnet geometry, while “typical” NdFeB cutting and grinding scrap is frequently cited at ~20–30 wt% of starting alloy in manufacturing practice. Waste is not a minor side stream: one analysis estimates the swarf recycling stream in 2020 was ~9% of global NdFeB magnet production, indicating swarf-handling and recycling logistics are already a non-trivial industrial system.</w:t>
      </w:r>
    </w:p>
    <w:p>
      <w:pPr>
        <w:pStyle w:val="BodyText"/>
      </w:pPr>
      <w:r>
        <w:t xml:space="preserve">Waste form also matters. A review focused on magnet waste states that more than 70% of manufacturing waste consists of sludge that is heavily oxidized and contaminated with carbon from lubrication, which directly complicates recovery and creates a wastewater and sludge-handling problem rather than a clean “metal scrap” problem. Additionally, magnet cuttings/swarf can contain machine cutting fluids and magnetic powder, and cutting is performed before magnetization, which has implications for handling (magnetic vs non-magnetic), contamination control, and downstream separations.</w:t>
      </w:r>
    </w:p>
    <w:p>
      <w:pPr>
        <w:pStyle w:val="BodyText"/>
      </w:pPr>
      <w:r>
        <w:t xml:space="preserve">SmCo machining has an additional yield penalty because Sm-Co magnets are brittle. Sources attribute production loss up to 20–30% in volume to brittleness, and separately note Sm-Co machining failure rates up to ~20%. This brittleness-driven fracture risk is observable at the part level; one study reported 1 of 7 reference SmCo magnets (~14.3%) fractured during wire-EDM preparation, illustrating why high-reliability, tight-tolerance programs can see compounding scrap and rework costs in finishing operations.</w:t>
      </w:r>
    </w:p>
    <w:p>
      <w:pPr>
        <w:pStyle w:val="BodyText"/>
      </w:pPr>
      <w:r>
        <w:t xml:space="preserve">The “value leaking” through this waste stream is amplified in high-temperature/high-coercivity NdFeB because Dy/Tb are expensive, and their use scales with temperature requirements. Sources note Dy/Tb additions are used to prevent demagnetization in the 150–200°C regime, and non-defense examples report NdFeB magnets can contain substantial HREE additions (e.g., “about 10 wt% Dy/Tb” in certain high-temperature motor contexts) and “up to 11 wt% dysprosium” cited in another high-temperature application context, indicating the magnitude of the value-at-risk can rise substantially above baseline compositions in the highest-temperature NdFeB grades.</w:t>
      </w:r>
    </w:p>
    <w:bookmarkEnd w:id="21"/>
    <w:bookmarkStart w:id="22" w:name="X4964a3c837b6444f7e8d9942dccb39da7ab3d6f"/>
    <w:p>
      <w:pPr>
        <w:pStyle w:val="Heading2"/>
      </w:pPr>
      <w:r>
        <w:t xml:space="preserve">3. The Regulatory Tailwind</w:t>
      </w:r>
    </w:p>
    <w:p>
      <w:pPr>
        <w:pStyle w:val="FirstParagraph"/>
      </w:pPr>
      <w:r>
        <w:t xml:space="preserve">The procurement environment is hardening around magnet provenance, with a single date acting as a forcing function for defense primes. GAO reports DoD completed DFARS rulemaking for the revised prohibition and that the expanded prohibition will go into effect January 1, 2027, and also flags that DoD will have to require contractors to disclose magnet sources in DoD systems. The DFARS final rule published May 30, 2024 is effective and sets the staged restriction framework in the DFARS clause; sources explicitly cite the rule’s May 30, 2024 effective date and the January 1, 2027 expansion that prohibits covered materials mined/refined/separated/melted/produced in covered countries.</w:t>
      </w:r>
    </w:p>
    <w:p>
      <w:pPr>
        <w:pStyle w:val="BodyText"/>
      </w:pPr>
      <w:r>
        <w:t xml:space="preserve">A key nuance for strategy is that DFARS covers both SmCo and NdFeB as “covered materials,” and that the 2027 expansion explicitly extends to the full upstream supply chain for both magnet types, not only final magnet manufacturing steps. DFARS also contemplates exceptions via nonavailability determinations, and the Federal Register text states DoD can issue individual and class nonavailability determinations if compliant materials are unavailable (DFARS 225.7018-4).</w:t>
      </w:r>
    </w:p>
    <w:p>
      <w:pPr>
        <w:pStyle w:val="BodyText"/>
      </w:pPr>
      <w:r>
        <w:t xml:space="preserve">Recycling becomes strategically important because DFARS provides a specific compliance pathway for NdFeB magnets manufactured from recycled material if (and only if) the milling of recycled material and the sintering of the final magnet occur in the United States. This “recycled NdFeB” pathway is a direct demand driver for U.S.-based recycling and refining capacity and increases the strategic value of domestically captured and traceably processed manufacturing scrap and end-of-life magnet feedstock.</w:t>
      </w:r>
    </w:p>
    <w:p>
      <w:pPr>
        <w:pStyle w:val="BodyText"/>
      </w:pPr>
      <w:r>
        <w:t xml:space="preserve">The DoD response to upstream concentration risk is not only regulatory. GAO reports that since 2020, DoD has awarded approximately $439 million to vendors to reestablish domestic rare earth supply chains, and DoD messaging emphasizes the importance of keeping critical supply-chain nodes in the United States to secure magnet supply.</w:t>
      </w:r>
    </w:p>
    <w:p>
      <w:pPr>
        <w:pStyle w:val="BodyText"/>
      </w:pPr>
      <w:r>
        <w:t xml:space="preserve">In Europe, the policy direction is similar in objectives but different in mechanism. The EU’s Critical Raw Materials Act (CRMA) sets 2030 benchmarks to reduce dependence on third countries, including targets of at least 10% extraction, 40% processing, and 25% recycling capacity (of EU annual consumption) for strategic raw materials, and a diversification target to avoid &gt;65% reliance on any single third country at any processing stage. For permanent magnets, CRMA includes labeling and recycled-content disclosure mechanisms for certain products, including requirements to indicate magnet type (NdFeB, SmCo, etc.) and disclosure of the share of key elements recovered from post-consumer waste by May 24, 2027, alongside a pathway for minimum recycled content rules by end-2031; however, the CRMA also explicitly exempts products primarily designed for defense or space applications from these Article requirements, so defense procurement effects may be more indirect (industrial capacity and recycling ecosystem) than direct contract flowdown in many cases.</w:t>
      </w:r>
    </w:p>
    <w:p>
      <w:pPr>
        <w:pStyle w:val="BodyText"/>
      </w:pPr>
      <w:r>
        <w:t xml:space="preserve">EU dual-use export controls can further shape availability and cross-border logistics for high-performance magnets. Regulation (EU) 2021/821 establishes an export-control regime for dual-use items, requires export authorization for items listed in Annex I, and requires exporters to keep detailed records for at least five years, which increases compliance friction and can tighten the practical availability of certain high-performance magnet products for international programs.</w:t>
      </w:r>
    </w:p>
    <w:bookmarkEnd w:id="22"/>
    <w:bookmarkStart w:id="23" w:name="X351d8c687f6d8d0cd078ab7a7c3f132b1f06fd4"/>
    <w:p>
      <w:pPr>
        <w:pStyle w:val="Heading2"/>
      </w:pPr>
      <w:r>
        <w:t xml:space="preserve">4. The Wastewater Opportunity</w:t>
      </w:r>
    </w:p>
    <w:p>
      <w:pPr>
        <w:pStyle w:val="FirstParagraph"/>
      </w:pPr>
      <w:r>
        <w:t xml:space="preserve">The “machining waste” problem is also a wastewater and coolant-management problem, because grinding/cutting slurries are mixtures of metallic swarf, grinding-media abrasion, and a relevant amount of cooling agent, and residual coolant can remain from &lt;1% to &gt;20% by weight even after on-site solid-liquid separation and coolant recirculation. In addition, swarf streams may contain cutting fluids and magnetic powder, which creates a combined solids-and-organics treatment challenge rather than a simple “settle out metal” problem.</w:t>
      </w:r>
    </w:p>
    <w:p>
      <w:pPr>
        <w:pStyle w:val="BodyText"/>
      </w:pPr>
      <w:r>
        <w:t xml:space="preserve">From a treatment-chemistry standpoint, the literature indicates that pH-driven precipitation is a workhorse method for metal removal in industrial wastewaters. Sources describe hydroxide precipitation via pH adjustment as widely used for metal-ion removal, and emphasize that pH adjustment is commonly applied to precipitate metal hydroxides and facilitate removal of suspended solids. For REEs specifically, multiple sources converge that REE hydroxide precipitation typically occurs in the alkaline range (roughly pH ~8.6–10, matrix dependent).</w:t>
      </w:r>
    </w:p>
    <w:p>
      <w:pPr>
        <w:pStyle w:val="BodyText"/>
      </w:pPr>
      <w:r>
        <w:t xml:space="preserve">Selectivity is typically achieved with staged pH control, especially when iron is abundant (as in NdFeB-related waste streams). Review-level guidance and EPA-oriented sources describe iron removal prior to REE precipitation by adjusting pH to about 3–4 (often cited ~3.5) to precipitate Fe(III) hydroxides/oxides while keeping REEs in solution, followed by raising pH for REE precipitation to avoid co-precipitation losses. This staged approach is directionally consistent with the chemistry reality that magnet-waste-derived solutions and slurries often contain large iron fractions (e.g., NdFeB magnets with ~69% iron by weight in one supply-chain report framing), which otherwise drives high sludge volumes and poor selectivity if treated in a single pH step.</w:t>
      </w:r>
    </w:p>
    <w:p>
      <w:pPr>
        <w:pStyle w:val="BodyText"/>
      </w:pPr>
      <w:r>
        <w:t xml:space="preserve">A key operational constraint for machining coolants is organic load (oils, surfactants). A coolant-treatment source notes that water-mix cutting fluids are diluted to create oil-in-water emulsions (2–10% by volume oil in water), and a coolant-focused REE recovery review notes membrane-based pre-concentration is promising but fouling from oils/organics complicates direct membrane use and typically requires pretreatment to remove organics and emulsified oils before membrane/adsorption-based REE recovery is viable.</w:t>
      </w:r>
    </w:p>
    <w:p>
      <w:pPr>
        <w:pStyle w:val="BodyText"/>
      </w:pPr>
      <w:r>
        <w:t xml:space="preserve">Within this chemistry and operations envelope, Algamol’s stated positioning is that its technology supports recovery of rare earth metals from wastewater, which aligns with the market need for treatment-plus-recovery rather than disposal-only solutions in a DFARS- and CRMA-driven environment. At the same time, the research base cautions that algal sorbent research for REE recovery from real wastes is still in its infancy, and biosorption is commonly preferred under mildly acidic conditions (pH 3–6, with a commonly reported optimum around pH ~5), which matters for how Algamol is integrated with staged precipitation and oil-removal steps (i.e., it is unlikely to be a “single-box” solution).</w:t>
      </w:r>
    </w:p>
    <w:p>
      <w:pPr>
        <w:pStyle w:val="BodyText"/>
      </w:pPr>
      <w:r>
        <w:t xml:space="preserve">Economically, the strongest initial ROI lever is disposal avoidance. Offsite hazardous waste disposal is commonly cited at $0.50–$3.00/gal (about $130–$800/m³), with additional minimum pickup charges and substantial variability by site and classification. On the cost side of the solution, the compiled Algamol deployment inputs cite a total installed CAPEX estimate of $110k–$310k and annual OPEX components (chemicals, membrane replacement, energy, labor, sludge handling) that sum to about $28k–$73k per year.</w:t>
      </w:r>
    </w:p>
    <w:p>
      <w:pPr>
        <w:pStyle w:val="BodyText"/>
      </w:pPr>
      <w:r>
        <w:t xml:space="preserve">The table below shows a simple disposal-avoidance payback framing using only cited disposal ranges and cited CAPEX/OPEX ranges (excluding potential recovered-metal revenues and excluding residual offsite disposal for concentrated residues).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jc w:val="right"/>
            </w:pPr>
            <w:r>
              <w:t xml:space="preserve">Wastewater volume</w:t>
            </w:r>
          </w:p>
        </w:tc>
        <w:tc>
          <w:tcPr/>
          <w:p>
            <w:pPr>
              <w:pStyle w:val="Compact"/>
              <w:jc w:val="right"/>
            </w:pPr>
            <w:r>
              <w:t xml:space="preserve">Disposal cost range</w:t>
            </w:r>
          </w:p>
        </w:tc>
        <w:tc>
          <w:tcPr/>
          <w:p>
            <w:pPr>
              <w:pStyle w:val="Compact"/>
              <w:jc w:val="right"/>
            </w:pPr>
            <w:r>
              <w:t xml:space="preserve">Annual disposal baseline</w:t>
            </w:r>
          </w:p>
        </w:tc>
        <w:tc>
          <w:tcPr/>
          <w:p>
            <w:pPr>
              <w:pStyle w:val="Compact"/>
              <w:jc w:val="right"/>
            </w:pPr>
            <w:r>
              <w:t xml:space="preserve">Annual treatment OPEX</w:t>
            </w:r>
          </w:p>
        </w:tc>
        <w:tc>
          <w:tcPr/>
          <w:p>
            <w:pPr>
              <w:pStyle w:val="Compact"/>
              <w:jc w:val="right"/>
            </w:pPr>
            <w:r>
              <w:t xml:space="preserve">CAPEX range</w:t>
            </w:r>
          </w:p>
        </w:tc>
        <w:tc>
          <w:tcPr/>
          <w:p>
            <w:pPr>
              <w:pStyle w:val="Compact"/>
            </w:pPr>
            <w:r>
              <w:t xml:space="preserve">Simple payback estimate</w:t>
            </w:r>
          </w:p>
        </w:tc>
      </w:tr>
      <w:tr>
        <w:tc>
          <w:tcPr/>
          <w:p>
            <w:pPr>
              <w:pStyle w:val="Compact"/>
            </w:pPr>
            <w:r>
              <w:t xml:space="preserve">Small facility</w:t>
            </w:r>
          </w:p>
        </w:tc>
        <w:tc>
          <w:tcPr/>
          <w:p>
            <w:pPr>
              <w:pStyle w:val="Compact"/>
              <w:jc w:val="right"/>
            </w:pPr>
            <w:r>
              <w:t xml:space="preserve">5 m³/day</w:t>
            </w:r>
          </w:p>
        </w:tc>
        <w:tc>
          <w:tcPr/>
          <w:p>
            <w:pPr>
              <w:pStyle w:val="Compact"/>
              <w:jc w:val="right"/>
            </w:pPr>
            <w:r>
              <w:t xml:space="preserve">$130–$800/m³</w:t>
            </w:r>
          </w:p>
        </w:tc>
        <w:tc>
          <w:tcPr/>
          <w:p>
            <w:pPr>
              <w:pStyle w:val="Compact"/>
              <w:jc w:val="right"/>
            </w:pPr>
            <w:r>
              <w:t xml:space="preserve">~$237k–$1.46M/yr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~0.1–1.9 years (calc.)</w:t>
            </w:r>
          </w:p>
        </w:tc>
      </w:tr>
      <w:tr>
        <w:tc>
          <w:tcPr/>
          <w:p>
            <w:pPr>
              <w:pStyle w:val="Compact"/>
            </w:pPr>
            <w:r>
              <w:t xml:space="preserve">Medium facility</w:t>
            </w:r>
          </w:p>
        </w:tc>
        <w:tc>
          <w:tcPr/>
          <w:p>
            <w:pPr>
              <w:pStyle w:val="Compact"/>
              <w:jc w:val="right"/>
            </w:pPr>
            <w:r>
              <w:t xml:space="preserve">20 m³/day</w:t>
            </w:r>
          </w:p>
        </w:tc>
        <w:tc>
          <w:tcPr/>
          <w:p>
            <w:pPr>
              <w:pStyle w:val="Compact"/>
              <w:jc w:val="right"/>
            </w:pPr>
            <w:r>
              <w:t xml:space="preserve">$130–$800/m³</w:t>
            </w:r>
          </w:p>
        </w:tc>
        <w:tc>
          <w:tcPr/>
          <w:p>
            <w:pPr>
              <w:pStyle w:val="Compact"/>
              <w:jc w:val="right"/>
            </w:pPr>
            <w:r>
              <w:t xml:space="preserve">~$949k–$5.84M/yr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&lt;1 year in most cases (calc.)</w:t>
            </w:r>
          </w:p>
        </w:tc>
      </w:tr>
    </w:tbl>
    <w:p>
      <w:pPr>
        <w:pStyle w:val="BodyText"/>
      </w:pPr>
      <w:r>
        <w:t xml:space="preserve">This framing is consistent with broader industry narratives that wastewater projects can achieve rapid ROI when hauling/disposal is the baseline, including claims of sub-year payback for certain evaporation systems versus hauling and typical ROIs in the ~1.5–4 year range for broader industrial wastewater investments (noting that these are general benchmarks and site-specific).</w:t>
      </w:r>
    </w:p>
    <w:bookmarkEnd w:id="23"/>
    <w:bookmarkStart w:id="24" w:name="X52eff152866622b51c40f2ee30adebeb714718b"/>
    <w:p>
      <w:pPr>
        <w:pStyle w:val="Heading2"/>
      </w:pPr>
      <w:r>
        <w:t xml:space="preserve">5. Go to Market</w:t>
      </w:r>
    </w:p>
    <w:p>
      <w:pPr>
        <w:pStyle w:val="FirstParagraph"/>
      </w:pPr>
      <w:r>
        <w:t xml:space="preserve">The near-term commercial opportunity is to target magnet suppliers and machining houses where (a) high-value rare earth and cobalt material is being converted into contaminated sludge, and (b) DFARS-driven provenance and domestic-processing incentives increase the strategic value of keeping these byproducts controlled, characterized, and routed to compliant downstream recovery.</w:t>
      </w:r>
    </w:p>
    <w:p>
      <w:pPr>
        <w:pStyle w:val="BodyText"/>
      </w:pPr>
      <w:r>
        <w:t xml:space="preserve">A practical first wave of targets named in the compiled business-case inputs includes EEC/Permag (Landisville, PA), Arnold (multiple sites), and VAC (Sumter, SC). These targets align with the supplier landscape in which EEC is ITAR/DDTC registered and sources/purchases raw materials for in-house SmCo alloy production, and Arnold states ITAR-registered supply chain locations for its SmCo RECOMA products and defense-focused quality system certifications.</w:t>
      </w:r>
    </w:p>
    <w:p>
      <w:pPr>
        <w:pStyle w:val="BodyText"/>
      </w:pPr>
      <w:r>
        <w:t xml:space="preserve">The recommended commercialization path is a pilot-to-scale program that uses on-site sampling and controlled demonstration to convert uncertain wastewater composition into bankable operating parameters. This is supported by both (i) the general industrial wastewater guidance that field tests and sometimes pilot tests are important and can be coordinated with a reputable water-treatment firm, and (ii) the biosorption literature’s explicit caution that lab-scale results need to be advanced and tested with actual wastewater samples from manufacturing sources.</w:t>
      </w:r>
    </w:p>
    <w:p>
      <w:pPr>
        <w:pStyle w:val="BodyText"/>
      </w:pPr>
      <w:r>
        <w:t xml:space="preserve">From a system-architecture perspective, the best-supported “minimal viable product” is an integrated train that begins with pretreatment for oils/solids (to protect downstream concentration/capture steps) and then applies staged chemistry and/or biosorption where it has a plausible operating window. This approach is consistent with (a) coolant pretreatment requirements before membrane/adsorption-based REE recovery and (b) the practical staged precipitation concept (Fe at ~pH 3–4; REE hydroxides at ~pH 8.6–10) for selectivity and sludge reduction.</w:t>
      </w:r>
    </w:p>
    <w:bookmarkEnd w:id="24"/>
    <w:bookmarkStart w:id="25" w:name="X7cfd5ec42fe47e34c5bfe47e7473c0a86b53a2b"/>
    <w:p>
      <w:pPr>
        <w:pStyle w:val="Heading2"/>
      </w:pPr>
      <w:r>
        <w:t xml:space="preserve">6. Key Risks and Unknowns</w:t>
      </w:r>
    </w:p>
    <w:p>
      <w:pPr>
        <w:pStyle w:val="FirstParagraph"/>
      </w:pPr>
      <w:r>
        <w:t xml:space="preserve">The largest technical and commercial unknown is that published data are still thin on site-specific coolant wastewater chemistry for defense magnet machining, particularly for dissolved Nd/Pr/Dy/Sm/Co concentration ranges in real coolant loops and the partitioning between aqueous phase, fines, and oily sludge under different coolant chemistries and separation practices. This matters because the revenue upside (metals recovery from wastewater) depends on actual loading and partitioning, while the cost downside (treatability, sludge disposal) depends on emulsion stability, organics, and contaminants, which are known to complicate REE recovery from real machining slurries.</w:t>
      </w:r>
    </w:p>
    <w:p>
      <w:pPr>
        <w:pStyle w:val="BodyText"/>
      </w:pPr>
      <w:r>
        <w:t xml:space="preserve">A second risk is technology maturity for algae-based capture in real industrial matrices. The literature states research into algal sorbents for REE recovery from real wastes is still in its infancy, and this must be reflected in commercial claims and risk allocation (e.g., performance guarantees should initially be based on disposal reduction and compliance metrics rather than recovered-metal credits).</w:t>
      </w:r>
    </w:p>
    <w:p>
      <w:pPr>
        <w:pStyle w:val="BodyText"/>
      </w:pPr>
      <w:r>
        <w:t xml:space="preserve">A third risk is regulatory and procurement interpretation drift as DFARS source-disclosure requirements are implemented. GAO indicates DoD is moving toward requiring contractors to disclose magnet sources, and DFARS-related implementation for provenance disclosure is expected between 2025 and 2027, which means supplier questionnaires and traceability expectations may tighten during the same period that primes are requalifying suppliers for the 2027 expanded prohibition.</w:t>
      </w:r>
    </w:p>
    <w:p>
      <w:pPr>
        <w:pStyle w:val="BodyText"/>
      </w:pPr>
      <w:r>
        <w:t xml:space="preserve">Finally, the supply-chain transition remains schedule-critical. GAO notes supply chains are multi-tier and China-dominated, and DoD has assessed it can take a decade or longer to establish new domestic sources for rare earths, which implies a non-trivial risk that capacity and qualification lag the January 1, 2027 prohibition expansion for certain niche high-temperature grades unless recycling and allied sourcing pathways scale quickly.</w:t>
      </w:r>
    </w:p>
    <w:p>
      <w:pPr>
        <w:pStyle w:val="BodyText"/>
      </w:pPr>
      <w:r>
        <w:t xml:space="preserve">Near-term diligence priorities therefore center on actions that directly de-risk both technical performance and investor-underwritable economics:</w:t>
      </w:r>
    </w:p>
    <w:p>
      <w:pPr>
        <w:pStyle w:val="Compact"/>
        <w:numPr>
          <w:ilvl w:val="0"/>
          <w:numId w:val="1001"/>
        </w:numPr>
      </w:pPr>
      <w:r>
        <w:t xml:space="preserve">A defensible sampling plan for coolant, sludge, and swarf streams (including oil content, pH, solids, and metals) to bound treatability and confirm what fraction of rare earth value is in the solid phase versus aqueous phase.</w:t>
      </w:r>
    </w:p>
    <w:p>
      <w:pPr>
        <w:pStyle w:val="Compact"/>
        <w:numPr>
          <w:ilvl w:val="0"/>
          <w:numId w:val="1001"/>
        </w:numPr>
      </w:pPr>
      <w:r>
        <w:t xml:space="preserve">A pilot design that explicitly includes oil/solids pretreatment before any membrane/adsorption/biosorption steps, consistent with coolant fouling constraints noted in the literature.</w:t>
      </w:r>
    </w:p>
    <w:p>
      <w:pPr>
        <w:pStyle w:val="Compact"/>
        <w:numPr>
          <w:ilvl w:val="0"/>
          <w:numId w:val="1001"/>
        </w:numPr>
      </w:pPr>
      <w:r>
        <w:t xml:space="preserve">A commercialization narrative tied to DFARS 2027 and the “recycled NdFeB milled and sintered in the U.S.” exception, because those rules create a premium for domestic, traceable processing of magnet manufacturing byproducts into compliant feedstock pathways.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