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357ded3b50c272115502700bde328b47a0ff2e"/>
    <w:p>
      <w:pPr>
        <w:pStyle w:val="Heading1"/>
      </w:pPr>
      <w:r>
        <w:t xml:space="preserve">High-Temperature Permanent Magnets in the Defense and Security Industry: Manufacturing, Supply Chain, and Competitive Landscape</w:t>
      </w:r>
    </w:p>
    <w:bookmarkStart w:id="20" w:name="executive-summary"/>
    <w:p>
      <w:pPr>
        <w:pStyle w:val="Heading2"/>
      </w:pPr>
      <w:r>
        <w:t xml:space="preserve">Executive Summary</w:t>
      </w:r>
    </w:p>
    <w:p>
      <w:pPr>
        <w:pStyle w:val="FirstParagraph"/>
      </w:pPr>
      <w:r>
        <w:t xml:space="preserve">Defense and security systems rely on rare-earth permanent magnets as enabling components across major platforms, including the F-35 Lightning II, Virginia and Columbia class submarines, and unmanned aerial vehicles (UAVs). Reported platform-level demand is large, with the F-35 requiring more than 900 lb of rare earth elements (REEs), an Arleigh Burke DDG-51 destroyer requiring about 5,200 lb, and a Virginia class submarine needing about 9,200 lb, underscoring the strategic importance of secure supply chains for these materials and components.</w:t>
      </w:r>
    </w:p>
    <w:p>
      <w:pPr>
        <w:pStyle w:val="BodyText"/>
      </w:pPr>
      <w:r>
        <w:t xml:space="preserve">For high-temperature operation, samarium-cobalt (SmCo) magnets (SmCo5 and Sm2Co17 families) are emphasized in the provided sources as preferred for high-temperature applications (e.g., 200–550 °C) because of their thermal stability and corrosion resistance. High-temperature NdFeB is positioned as a separate engineering path where coercivity is maintained at elevated temperatures (e.g., 150–200 °C) via heavy rare earth (HREE) additions (Dy/Tb) or via grain boundary diffusion processes that enhance coercivity without relying on bulk HREE loading.</w:t>
      </w:r>
    </w:p>
    <w:p>
      <w:pPr>
        <w:pStyle w:val="BodyText"/>
      </w:pPr>
      <w:r>
        <w:t xml:space="preserve">Across both magnet types, the core industrial route described in the sources is powder metallurgy: alloy preparation, powder production, particle alignment and pressing, sintering and heat treatment, machining, and then magnetization. The machining and finishing step is consistently highlighted as the dominant source of material loss and scrap risk, with one public report stating machining recovery rates of 60–90% depending on final magnet complexity (i.e., 10–40% material becomes waste). The waste stream (magnet swarf) is described as often recycled back into process streams, and it can contain machine cutting fluids and magnetic powder because cutting is performed before magnetization.</w:t>
      </w:r>
    </w:p>
    <w:p>
      <w:pPr>
        <w:pStyle w:val="BodyText"/>
      </w:pPr>
      <w:r>
        <w:t xml:space="preserve">From a defense supply-chain perspective, the sources emphasize that REE and critical material supply chains are global and multi-tiered, and that China dominates mining and processing stages for rare earths and other critical materials. U.S. policy and acquisition frameworks are tightening disclosure and sourcing requirements, including a DFARS-related expanded prohibition that GAO reports will go into effect on January 1, 2027, and a requirement for contractors to disclose the source of certain rare earth permanent magnets used in DoD systems.</w:t>
      </w:r>
    </w:p>
    <w:bookmarkEnd w:id="20"/>
    <w:bookmarkStart w:id="23" w:name="magnet-types-and-grades"/>
    <w:p>
      <w:pPr>
        <w:pStyle w:val="Heading2"/>
      </w:pPr>
      <w:r>
        <w:t xml:space="preserve">Magnet Types and Grades</w:t>
      </w:r>
    </w:p>
    <w:p>
      <w:pPr>
        <w:pStyle w:val="FirstParagraph"/>
      </w:pPr>
      <w:r>
        <w:t xml:space="preserve">SmCo and high-temperature NdFeB in the provided sources are presented less as commodity items and more as tightly specified engineering materials chosen to match elevated-temperature reliability requirements and environmental constraints. In defense and security contexts, these magnets sit in actuators, motors, and electromechanical subsystems within major platforms, contributing to the large REE usage cited for systems such as the F-35 and naval vessels/submarines.</w:t>
      </w:r>
    </w:p>
    <w:bookmarkStart w:id="21" w:name="smco-grades"/>
    <w:p>
      <w:pPr>
        <w:pStyle w:val="Heading3"/>
      </w:pPr>
      <w:r>
        <w:t xml:space="preserve">SmCo grades</w:t>
      </w:r>
    </w:p>
    <w:p>
      <w:pPr>
        <w:pStyle w:val="FirstParagraph"/>
      </w:pPr>
      <w:r>
        <w:t xml:space="preserve">The sources describe SmCo magnets (SmCo5 and Sm2Co17) as offering “excellent hard magnetic properties, thermal stability, and corrosion resistance,” and as a preferred/ultimate choice for high-temperature applications (e.g., 200–550 °C). Reported performance ranges include a broad SmCo (BH)max range of 16–33 MGOe, reflecting variability across compositions and processing.</w:t>
      </w:r>
    </w:p>
    <w:p>
      <w:pPr>
        <w:pStyle w:val="BodyText"/>
      </w:pPr>
      <w:r>
        <w:t xml:space="preserve">A specific grade example in the dataset is an Sm2O3-doped Sm2(Co,Fe,Cu,Zr)17 magnet reported as “EEC 2:17-27,” with (BH)max of 26–28 MGOe, intrinsic coercivity Hci of 34.1–36.1 kOe, and Br of 10.5–10.8 kGs. Commercial supplier data in the provided sources also lists VACOMAX SmCo properties including Br minimum values in the range 0.85–1.17 T (as presented), HcB minimum values around 600 kA/m (as presented), and typical (BH)max values in the range 160–265 kJ/m³ (20–33 MGOe), with maximum operating temperature stated as up to 350 °C for some alloys.</w:t>
      </w:r>
    </w:p>
    <w:p>
      <w:pPr>
        <w:pStyle w:val="BodyText"/>
      </w:pPr>
      <w:r>
        <w:t xml:space="preserve">Thermal stability is further reflected in reversible temperature coefficient examples: a “standard Sm2Co17 magnet” is reported with a reversible temperature coefficient of about −350 ppm/K between room temperature and 200 °C, and SmCo5 is reported with RTC(Br) about −450 ppm/K.</w:t>
      </w:r>
    </w:p>
    <w:bookmarkEnd w:id="21"/>
    <w:bookmarkStart w:id="22" w:name="X3972f8f850fe6bfe72847904c4cdd89714dfa07"/>
    <w:p>
      <w:pPr>
        <w:pStyle w:val="Heading3"/>
      </w:pPr>
      <w:r>
        <w:t xml:space="preserve">High-temperature NdFeB and coercivity engineering</w:t>
      </w:r>
    </w:p>
    <w:p>
      <w:pPr>
        <w:pStyle w:val="FirstParagraph"/>
      </w:pPr>
      <w:r>
        <w:t xml:space="preserve">The sources describe a conventional high-temperature NdFeB approach of adding Dy/Tb to improve coercivity and avoid demagnetization at high operating temperatures (150–200 °C). One cited example (in a non-defense end-use context) reports that sintered NdFeB magnets used for wind turbines and electric/hybrid vehicle motors “usually contain about 10 wt% Dy/Tb,” illustrating the scale of HREE loading sometimes used to preserve coercivity at elevated temperatures.</w:t>
      </w:r>
    </w:p>
    <w:p>
      <w:pPr>
        <w:pStyle w:val="BodyText"/>
      </w:pPr>
      <w:r>
        <w:t xml:space="preserve">A second approach emphasized in the dataset is grain boundary diffusion (GBD), described as a “well-established method” that “considerably enhances the coercivity” of sintered NdFeB and optimizes microstructures, including approaches using DyH3 nanoparticles (to fabricate “Dy-less” high-coercivity magnets) and diffusion sources such as DyCo alloys or Dy films deposited by magnetron sputtering. Quantitatively, one study reports that increasing diffusion temperature from 700 to 950 °C increased Hcj from 1339.3 to 1767.1 kA/m while Jr increased from 1.380 T to 1.439 T. Another report states that Dy diffusion with a primary diffusion heat treatment at 900 °C for 6 h increased coercivity from 1073 to 1418 kA/m versus the original magnet.</w:t>
      </w:r>
    </w:p>
    <w:bookmarkEnd w:id="22"/>
    <w:bookmarkEnd w:id="23"/>
    <w:bookmarkStart w:id="29" w:name="manufacturing-process-chain"/>
    <w:p>
      <w:pPr>
        <w:pStyle w:val="Heading2"/>
      </w:pPr>
      <w:r>
        <w:t xml:space="preserve">Manufacturing Process Chain</w:t>
      </w:r>
    </w:p>
    <w:p>
      <w:pPr>
        <w:pStyle w:val="FirstParagraph"/>
      </w:pPr>
      <w:r>
        <w:t xml:space="preserve">The manufacturing chain described for sintered rare-earth magnets is dominated by powder metallurgy steps and high-temperature thermal processing, with the sources explicitly describing the general flow as alloy preparation, powder production, particle alignment and pressing, sintering and heat treatment, machining, and finally magnetizing. For SmCo specifically, one cited process statement describes manufacturing “by powder metallurgical technique involving isostatic pressing and sintering in inert atmosphere at temperatures range of 1140–1170 °C.”</w:t>
      </w:r>
    </w:p>
    <w:bookmarkStart w:id="24" w:name="raw-materials-and-powder-production"/>
    <w:p>
      <w:pPr>
        <w:pStyle w:val="Heading3"/>
      </w:pPr>
      <w:r>
        <w:t xml:space="preserve">Raw materials and powder production</w:t>
      </w:r>
    </w:p>
    <w:p>
      <w:pPr>
        <w:pStyle w:val="FirstParagraph"/>
      </w:pPr>
      <w:r>
        <w:t xml:space="preserve">Powder production routes in the sources include hydrogen decrepitation (HD), described as a process where a material absorbs hydrogen gas in its interstitial sites, as well as crushing/milling and jet milling routes for Sm2(Co,Fe,Cu,Zr)17 powders. One example reports Sm2(Co,Fe,Cu,Zr)17 powder prepared from book mold ingots by crushing and milling, then ground to an average particle size of about 7 ± 2 µm using an AFG jet mill.</w:t>
      </w:r>
    </w:p>
    <w:bookmarkEnd w:id="24"/>
    <w:bookmarkStart w:id="25" w:name="alignment-and-pressing"/>
    <w:p>
      <w:pPr>
        <w:pStyle w:val="Heading3"/>
      </w:pPr>
      <w:r>
        <w:t xml:space="preserve">Alignment and pressing</w:t>
      </w:r>
    </w:p>
    <w:p>
      <w:pPr>
        <w:pStyle w:val="FirstParagraph"/>
      </w:pPr>
      <w:r>
        <w:t xml:space="preserve">The sources show strong-field alignment as a critical step prior to compaction, including an example where blended powder mixtures were aligned using a 4 T pulsed magnetic field. Pressing approaches include isostatic pressing into green compacts, with one report citing approximately 240 MPa and another citing about 250 MPa after alignment in a magnetic field of 1300 kA/m.</w:t>
      </w:r>
    </w:p>
    <w:bookmarkEnd w:id="25"/>
    <w:bookmarkStart w:id="26" w:name="Xf4cc1ea2aaa873f420924a507dba0b956ecd0be"/>
    <w:p>
      <w:pPr>
        <w:pStyle w:val="Heading3"/>
      </w:pPr>
      <w:r>
        <w:t xml:space="preserve">Sintering, densification, and heat treatment</w:t>
      </w:r>
    </w:p>
    <w:p>
      <w:pPr>
        <w:pStyle w:val="FirstParagraph"/>
      </w:pPr>
      <w:r>
        <w:t xml:space="preserve">For SmCo sintering, the dataset includes a statement of inert-atmosphere sintering in the 1140–1170 °C range for powder-metallurgical routes. Another Sm2(Co,Fe,Cu,Zr)17 example reports sintering at about 1200 °C and holding slightly below sintering temperature for homogenization. Density is treated as a key acceptance/quality target, with one source stating that “the density [is required] to be &gt; 95% of theoretical density.”</w:t>
      </w:r>
    </w:p>
    <w:p>
      <w:pPr>
        <w:pStyle w:val="BodyText"/>
      </w:pPr>
      <w:r>
        <w:t xml:space="preserve">Post-sinter heat treatment is documented as multi-step thermal processing, including quenching and annealing at 850 °C followed by slow cooling to 400 °C at 0.7 K/min, a multi-hour hold, and a final quench in one reported Sm2(Co,Fe,Cu,Zr)17 route. The sources also emphasize that sintering and heat treatment cause substantial shrinkage that must be designed into tooling and machining allowances, reporting about 7–25% linear shrinkage overall and anisotropic shrinkage ranges of 17–25% parallel to the magnetic alignment direction and 7–13% perpendicular to it (depending on composition and sintering temperatures).</w:t>
      </w:r>
    </w:p>
    <w:bookmarkEnd w:id="26"/>
    <w:bookmarkStart w:id="27" w:name="Xad1fac71159d3fb61a04daa8ae80d88e0de9e5a"/>
    <w:p>
      <w:pPr>
        <w:pStyle w:val="Heading3"/>
      </w:pPr>
      <w:r>
        <w:t xml:space="preserve">Diffusion processing for high-coercivity NdFeB</w:t>
      </w:r>
    </w:p>
    <w:p>
      <w:pPr>
        <w:pStyle w:val="FirstParagraph"/>
      </w:pPr>
      <w:r>
        <w:t xml:space="preserve">For high-temperature NdFeB, grain boundary diffusion is described in the sources as a route to produce high-performance magnets and to enhance coercivity and thermal stability, using diffusion sources including DyH3 nanoparticles, DyCo alloys for infiltration, and Dy films deposited by magnetron sputtering. The diffusion temperature dependence and coercivity improvements (e.g., 700–950 °C leading to Hcj 1339.3→1767.1 kA/m; or 900 °C/6 h yielding 1073→1418 kA/m) provide quantitative anchors for the thermal budgets involved in these processes.</w:t>
      </w:r>
    </w:p>
    <w:bookmarkEnd w:id="27"/>
    <w:bookmarkStart w:id="28" w:name="coatings-and-corrosion-protection"/>
    <w:p>
      <w:pPr>
        <w:pStyle w:val="Heading3"/>
      </w:pPr>
      <w:r>
        <w:t xml:space="preserve">Coatings and corrosion protection</w:t>
      </w:r>
    </w:p>
    <w:p>
      <w:pPr>
        <w:pStyle w:val="FirstParagraph"/>
      </w:pPr>
      <w:r>
        <w:t xml:space="preserve">The sources differentiate corrosion behavior by material family, noting that SmCo magnets are naturally corrosion resistant and that coating is often optional for SmCo in some applications. For NdFeB, a coating specification reference lists Ni-Cu-Ni (standard triple layer) with a temperature note of ~200 °C, indicating the kinds of coatings referenced for neodymium magnets in higher-temperature environments.</w:t>
      </w:r>
    </w:p>
    <w:bookmarkEnd w:id="28"/>
    <w:bookmarkEnd w:id="29"/>
    <w:bookmarkStart w:id="35" w:name="machining-finishing-and-waste-generation"/>
    <w:p>
      <w:pPr>
        <w:pStyle w:val="Heading2"/>
      </w:pPr>
      <w:r>
        <w:t xml:space="preserve">Machining, Finishing, and Waste Generation</w:t>
      </w:r>
    </w:p>
    <w:p>
      <w:pPr>
        <w:pStyle w:val="FirstParagraph"/>
      </w:pPr>
      <w:r>
        <w:t xml:space="preserve">The sources consistently identify machining as both a major technical risk (brittleness-driven fracture and chipping) and the dominant stage for material loss when converting sintered blocks into end-use geometries. A general process description states that after sintering and heat treatment, magnets are machined and then magnetized, which also aligns with the description that cutting is performed before magnetization in the context of swarf generation.</w:t>
      </w:r>
    </w:p>
    <w:bookmarkStart w:id="30" w:name="how-parts-are-finished-and-delivered"/>
    <w:p>
      <w:pPr>
        <w:pStyle w:val="Heading3"/>
      </w:pPr>
      <w:r>
        <w:t xml:space="preserve">How parts are finished and delivered</w:t>
      </w:r>
    </w:p>
    <w:p>
      <w:pPr>
        <w:pStyle w:val="FirstParagraph"/>
      </w:pPr>
      <w:r>
        <w:t xml:space="preserve">For sintered rare-earth magnets in general, one source describes that “finished magnets are then machined” using wire saws, wire electrical discharge machining (EDM), or abrasive wheel slitting machines, implying that suppliers can deliver machined/finished geometries rather than only sintered blocks. The same overarching process description places magnetization after machining, which is consistent with the machining-before-magnetization statement in the NdFeB supply chain report’s swarf discussion.</w:t>
      </w:r>
    </w:p>
    <w:bookmarkEnd w:id="30"/>
    <w:bookmarkStart w:id="31" w:name="methods-and-tolerances"/>
    <w:p>
      <w:pPr>
        <w:pStyle w:val="Heading3"/>
      </w:pPr>
      <w:r>
        <w:t xml:space="preserve">Methods and tolerances</w:t>
      </w:r>
    </w:p>
    <w:p>
      <w:pPr>
        <w:pStyle w:val="FirstParagraph"/>
      </w:pPr>
      <w:r>
        <w:t xml:space="preserve">For high-precision shaping, wire EDM is highlighted in the provided sources as enabling tight tolerances, with one tolerance reference stating that wire EDM can achieve tolerances in the range of ±0.005 mm to ±0.02 mm. Surface grinding is also described as a common finishing step for sintered magnets to achieve precise dimensions, with tolerances typically in the range of ±0.02 mm to ±0.05 mm.</w:t>
      </w:r>
    </w:p>
    <w:p>
      <w:pPr>
        <w:pStyle w:val="BodyText"/>
      </w:pPr>
      <w:r>
        <w:t xml:space="preserve">Kerf and gap mechanics in wire EDM are quantified in the provided sources, including a reported wire-workpiece gap usually ranging from 0.025 to 0.075 mm. Kerf stability is described in one experimental study as having standard deviation in the range of 1.1–3.1 µm across a set of 27 cuts, and the same source provides an empirical mean kerf relationship K_m(µm) = 0.203·V + 104 (as reported).</w:t>
      </w:r>
    </w:p>
    <w:bookmarkEnd w:id="31"/>
    <w:bookmarkStart w:id="32" w:name="waste-and-scrap-mechanisms"/>
    <w:p>
      <w:pPr>
        <w:pStyle w:val="Heading3"/>
      </w:pPr>
      <w:r>
        <w:t xml:space="preserve">Waste and scrap mechanisms</w:t>
      </w:r>
    </w:p>
    <w:p>
      <w:pPr>
        <w:pStyle w:val="FirstParagraph"/>
      </w:pPr>
      <w:r>
        <w:t xml:space="preserve">Material loss is described as being greatest during machining of the sintered block into end-use geometries; a U.S. public report states that machining has a recovery rate of 60–90% depending on size and complexity of the final magnet, implying 10–40% waste during machining for many geometries. That same report notes that although considerable material is lost, the resulting waste (magnet swarf) is often recycled and returns to the process flow stream.</w:t>
      </w:r>
    </w:p>
    <w:p>
      <w:pPr>
        <w:pStyle w:val="BodyText"/>
      </w:pPr>
      <w:r>
        <w:t xml:space="preserve">SmCo introduces an additional scrap driver due to brittleness. One source attributes “magnet production loss of up to 20–30% in volume” to brittleness effects, and a separate processing reference describes Sm-Co magnets as the most brittle with machining failure rate up to 20%. In a wire EDM example, 1 of 7 reference magnets (about 14.3%) had fracture problems while preparing rectangular bars, illustrating the brittleness-driven yield risk in finishing operations.</w:t>
      </w:r>
    </w:p>
    <w:bookmarkEnd w:id="32"/>
    <w:bookmarkStart w:id="33" w:name="waste-stream-forms-and-composition"/>
    <w:p>
      <w:pPr>
        <w:pStyle w:val="Heading3"/>
      </w:pPr>
      <w:r>
        <w:t xml:space="preserve">Waste stream forms and composition</w:t>
      </w:r>
    </w:p>
    <w:p>
      <w:pPr>
        <w:pStyle w:val="FirstParagraph"/>
      </w:pPr>
      <w:r>
        <w:t xml:space="preserve">The NdFeB magnet supply chain report provides a global-scale estimate that the volume of the swarf recycling stream in 2020 was about 9% of NdFeB magnets produced globally. That report further notes that swarf streams “can contain some machine cutting fluids and magnetic powder,” and explicitly links this to the fact that cutting is performed before magnetization.</w:t>
      </w:r>
    </w:p>
    <w:bookmarkEnd w:id="33"/>
    <w:bookmarkStart w:id="34" w:name="waste-generation-summary"/>
    <w:p>
      <w:pPr>
        <w:pStyle w:val="Heading3"/>
      </w:pPr>
      <w:r>
        <w:t xml:space="preserve">Waste generation summary</w:t>
      </w:r>
    </w:p>
    <w:p>
      <w:pPr>
        <w:pStyle w:val="FirstParagraph"/>
      </w:pPr>
      <w:r>
        <w:t xml:space="preserve">The table below consolidates the waste-related quantitative points that are explicitly stated in the provided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Waste and scrap metric</w:t>
            </w:r>
          </w:p>
        </w:tc>
        <w:tc>
          <w:tcPr/>
          <w:p>
            <w:pPr>
              <w:pStyle w:val="Compact"/>
              <w:jc w:val="right"/>
            </w:pPr>
            <w:r>
              <w:t xml:space="preserve">Reported value</w:t>
            </w:r>
          </w:p>
        </w:tc>
        <w:tc>
          <w:tcPr/>
          <w:p>
            <w:pPr>
              <w:pStyle w:val="Compact"/>
            </w:pPr>
            <w:r>
              <w:t xml:space="preserve">Context and notes</w:t>
            </w:r>
          </w:p>
        </w:tc>
      </w:tr>
      <w:tr>
        <w:tc>
          <w:tcPr/>
          <w:p>
            <w:pPr>
              <w:pStyle w:val="Compact"/>
            </w:pPr>
            <w:r>
              <w:t xml:space="preserve">Machining recovery rate</w:t>
            </w:r>
          </w:p>
        </w:tc>
        <w:tc>
          <w:tcPr/>
          <w:p>
            <w:pPr>
              <w:pStyle w:val="Compact"/>
              <w:jc w:val="right"/>
            </w:pPr>
            <w:r>
              <w:t xml:space="preserve">60–90% recovery (10–40% waste)</w:t>
            </w:r>
          </w:p>
        </w:tc>
        <w:tc>
          <w:tcPr/>
          <w:p>
            <w:pPr>
              <w:pStyle w:val="Compact"/>
            </w:pPr>
            <w:r>
              <w:t xml:space="preserve">Described as the greatest material loss step when machining sintered blocks to end-use specifications, varying with size and complexity.</w:t>
            </w:r>
          </w:p>
        </w:tc>
      </w:tr>
      <w:tr>
        <w:tc>
          <w:tcPr/>
          <w:p>
            <w:pPr>
              <w:pStyle w:val="Compact"/>
            </w:pPr>
            <w:r>
              <w:t xml:space="preserve">SmCo production loss linked to brittleness</w:t>
            </w:r>
          </w:p>
        </w:tc>
        <w:tc>
          <w:tcPr/>
          <w:p>
            <w:pPr>
              <w:pStyle w:val="Compact"/>
              <w:jc w:val="right"/>
            </w:pPr>
            <w:r>
              <w:t xml:space="preserve">Up to 20–30% volume loss</w:t>
            </w:r>
          </w:p>
        </w:tc>
        <w:tc>
          <w:tcPr/>
          <w:p>
            <w:pPr>
              <w:pStyle w:val="Compact"/>
            </w:pPr>
            <w:r>
              <w:t xml:space="preserve">Attributed to brittleness in SmCo-based magnets in one report.</w:t>
            </w:r>
          </w:p>
        </w:tc>
      </w:tr>
      <w:tr>
        <w:tc>
          <w:tcPr/>
          <w:p>
            <w:pPr>
              <w:pStyle w:val="Compact"/>
            </w:pPr>
            <w:r>
              <w:t xml:space="preserve">Sm-Co machining failure rate</w:t>
            </w:r>
          </w:p>
        </w:tc>
        <w:tc>
          <w:tcPr/>
          <w:p>
            <w:pPr>
              <w:pStyle w:val="Compact"/>
              <w:jc w:val="right"/>
            </w:pPr>
            <w:r>
              <w:t xml:space="preserve">Up to 20%</w:t>
            </w:r>
          </w:p>
        </w:tc>
        <w:tc>
          <w:tcPr/>
          <w:p>
            <w:pPr>
              <w:pStyle w:val="Compact"/>
            </w:pPr>
            <w:r>
              <w:t xml:space="preserve">Described as a machining failure rate for brittle Sm-Co magnets in a manufacturing process reference.</w:t>
            </w:r>
          </w:p>
        </w:tc>
      </w:tr>
      <w:tr>
        <w:tc>
          <w:tcPr/>
          <w:p>
            <w:pPr>
              <w:pStyle w:val="Compact"/>
            </w:pPr>
            <w:r>
              <w:t xml:space="preserve">WEDM fracture example</w:t>
            </w:r>
          </w:p>
        </w:tc>
        <w:tc>
          <w:tcPr/>
          <w:p>
            <w:pPr>
              <w:pStyle w:val="Compact"/>
              <w:jc w:val="right"/>
            </w:pPr>
            <w:r>
              <w:t xml:space="preserve">~14.3% (1 of 7) fracture problems</w:t>
            </w:r>
          </w:p>
        </w:tc>
        <w:tc>
          <w:tcPr/>
          <w:p>
            <w:pPr>
              <w:pStyle w:val="Compact"/>
            </w:pPr>
            <w:r>
              <w:t xml:space="preserve">Example observed during wire EDM preparation of SmCo bars for bending tests.</w:t>
            </w:r>
          </w:p>
        </w:tc>
      </w:tr>
      <w:tr>
        <w:tc>
          <w:tcPr/>
          <w:p>
            <w:pPr>
              <w:pStyle w:val="Compact"/>
            </w:pPr>
            <w:r>
              <w:t xml:space="preserve">NdFeB swarf stream (global, 2020)</w:t>
            </w:r>
          </w:p>
        </w:tc>
        <w:tc>
          <w:tcPr/>
          <w:p>
            <w:pPr>
              <w:pStyle w:val="Compact"/>
              <w:jc w:val="right"/>
            </w:pPr>
            <w:r>
              <w:t xml:space="preserve">~9% of production</w:t>
            </w:r>
          </w:p>
        </w:tc>
        <w:tc>
          <w:tcPr/>
          <w:p>
            <w:pPr>
              <w:pStyle w:val="Compact"/>
            </w:pPr>
            <w:r>
              <w:t xml:space="preserve">Framed as the swarf recycling stream volume estimate in 2020 for NdFeB magnets globally.</w:t>
            </w:r>
          </w:p>
        </w:tc>
      </w:tr>
      <w:tr>
        <w:tc>
          <w:tcPr/>
          <w:p>
            <w:pPr>
              <w:pStyle w:val="Compact"/>
            </w:pPr>
            <w:r>
              <w:t xml:space="preserve">Swarf composition indicator</w:t>
            </w:r>
          </w:p>
        </w:tc>
        <w:tc>
          <w:tcPr/>
          <w:p>
            <w:pPr>
              <w:pStyle w:val="Compact"/>
              <w:jc w:val="right"/>
            </w:pPr>
            <w:r>
              <w:t xml:space="preserve">Cutting fluids + magnetic powder possible</w:t>
            </w:r>
          </w:p>
        </w:tc>
        <w:tc>
          <w:tcPr/>
          <w:p>
            <w:pPr>
              <w:pStyle w:val="Compact"/>
            </w:pPr>
            <w:r>
              <w:t xml:space="preserve">Explained as a consequence of cutting being performed before magnetization.</w:t>
            </w:r>
          </w:p>
        </w:tc>
      </w:tr>
    </w:tbl>
    <w:bookmarkEnd w:id="34"/>
    <w:bookmarkEnd w:id="35"/>
    <w:bookmarkStart w:id="39" w:name="supply-chain-structure-and-logistics"/>
    <w:p>
      <w:pPr>
        <w:pStyle w:val="Heading2"/>
      </w:pPr>
      <w:r>
        <w:t xml:space="preserve">Supply Chain Structure and Logistics</w:t>
      </w:r>
    </w:p>
    <w:p>
      <w:pPr>
        <w:pStyle w:val="FirstParagraph"/>
      </w:pPr>
      <w:r>
        <w:t xml:space="preserve">The supply chain for rare earths and other critical materials relevant to permanent magnets is described by GAO as spread across the globe, with China dominating the mining and processing stages, and as a complex multi-tier process from raw material in the ground to a DoD weapon system. In response, DoD is reported to be actively working to establish a “Mine-to-Magnet” supply chain for rare earth materials, and GAO reports approximately $439 million in DoD awards since 2020 to vendors to reestablish domestic rare earth supply chains.</w:t>
      </w:r>
    </w:p>
    <w:bookmarkStart w:id="36" w:name="supply-chain-flow"/>
    <w:p>
      <w:pPr>
        <w:pStyle w:val="Heading3"/>
      </w:pPr>
      <w:r>
        <w:t xml:space="preserve">Supply chain flow</w:t>
      </w:r>
    </w:p>
    <w:p>
      <w:pPr>
        <w:pStyle w:val="FirstParagraph"/>
      </w:pPr>
      <w:r>
        <w:t xml:space="preserve">A defense-relevant “raw material to installed component” flow, using phrasing and step ordering described in the sources, can be expressed as:</w:t>
      </w:r>
    </w:p>
    <w:p>
      <w:pPr>
        <w:pStyle w:val="BodyText"/>
      </w:pPr>
      <w:r>
        <w:t xml:space="preserve">Mining and extraction → separation to high-purity oxides/metals → alloy preparation → powder production (including routes such as hydrogen decrepitation) → particle alignment and pressing → sintering and heat treatment → machining → magnetization → lot qualification and inspection → delivery/installation into defense subsystems.</w:t>
      </w:r>
    </w:p>
    <w:p>
      <w:pPr>
        <w:pStyle w:val="BodyText"/>
      </w:pPr>
      <w:r>
        <w:t xml:space="preserve">Within the manufacturing portion of this chain, specific operations are documented with quantitative anchors such as isostatic pressing around 240–250 MPa after magnetic alignment, and sintering regimes such as 1140–1170 °C (SmCo, inert atmosphere) or about 1200 °C (reported Sm2(Co,Fe,Cu,Zr)17 example), followed by multi-step heat treatments (e.g., 850 °C anneal and controlled cool to 400 °C).</w:t>
      </w:r>
    </w:p>
    <w:bookmarkEnd w:id="36"/>
    <w:bookmarkStart w:id="37" w:name="X371c594995a9db91ae020fd8c71d46ba1b7da5b"/>
    <w:p>
      <w:pPr>
        <w:pStyle w:val="Heading3"/>
      </w:pPr>
      <w:r>
        <w:t xml:space="preserve">Defense traceability and sourcing pressures</w:t>
      </w:r>
    </w:p>
    <w:p>
      <w:pPr>
        <w:pStyle w:val="FirstParagraph"/>
      </w:pPr>
      <w:r>
        <w:t xml:space="preserve">GAO reports that DoD completed DFARS rulemaking for an expanded prohibition that will go into effect on January 1, 2027, and that DoD will have to require contractors to disclose the source of certain rare earth permanent magnets used in DoD systems. In addition, the Federal Register text cited in the provided sources notes that DFARS authorizes DoD to issue individual and class nonavailability determinations if compliant materials are unavailable (DFARS 225.7018-4). The same Federal Register excerpt explicitly references “recycled NdFeB magnets milled and sintered in the United States,” indicating that U.S.-processed recycled feedstock is contemplated within DFARS discussions of compliant sourcing pathways.</w:t>
      </w:r>
    </w:p>
    <w:bookmarkEnd w:id="37"/>
    <w:bookmarkStart w:id="38" w:name="Xfead97b07f44921cc9a48c24fa1298a8bc43f63"/>
    <w:p>
      <w:pPr>
        <w:pStyle w:val="Heading3"/>
      </w:pPr>
      <w:r>
        <w:t xml:space="preserve">Logistics implications of machining waste</w:t>
      </w:r>
    </w:p>
    <w:p>
      <w:pPr>
        <w:pStyle w:val="FirstParagraph"/>
      </w:pPr>
      <w:r>
        <w:t xml:space="preserve">The sources indicate that machining creates substantial swarf streams that are often recycled, and that these streams can contain cutting fluids and magnetic powder, implying that collection, storage, and handling logistics must manage both metallic/magnetic solids and process fluids. Because machining is described as the “greatest material loss” step and because recovery rate varies (60–90%), the magnitude of swarf handling and potential recycling flows is sensitive to end-use geometry complexity and tolerance requirements.</w:t>
      </w:r>
    </w:p>
    <w:bookmarkEnd w:id="38"/>
    <w:bookmarkEnd w:id="39"/>
    <w:bookmarkStart w:id="41" w:name="competitive-landscape-and-certifications"/>
    <w:p>
      <w:pPr>
        <w:pStyle w:val="Heading2"/>
      </w:pPr>
      <w:r>
        <w:t xml:space="preserve">Competitive Landscape and Certifications</w:t>
      </w:r>
    </w:p>
    <w:p>
      <w:pPr>
        <w:pStyle w:val="FirstParagraph"/>
      </w:pPr>
      <w:r>
        <w:t xml:space="preserve">The competitive landscape in the provided sources highlights a mix of specialized magnet manufacturers and vertically integrated magnetic-materials companies, with supplier differentiation frequently expressed in terms of in-house alloy/powder capability, machining/assembly capability, and ability to meet defense compliance expectations such as ITAR registration and AS9100 quality management systems. In parallel, broader policy and market context emphasizes that the United States imports large percentages of some extracted and processed critical mineral resources and related products, framing the business case for domestic capacity expansions and “mine-to-magnet” initiatives.</w:t>
      </w:r>
    </w:p>
    <w:bookmarkStart w:id="40" w:name="supplier-snapshots"/>
    <w:p>
      <w:pPr>
        <w:pStyle w:val="Heading3"/>
      </w:pPr>
      <w:r>
        <w:t xml:space="preserve">Supplier snapshots</w:t>
      </w:r>
    </w:p>
    <w:p>
      <w:pPr>
        <w:pStyle w:val="FirstParagraph"/>
      </w:pPr>
      <w:r>
        <w:t xml:space="preserve">The table below summarizes defense-relevant attributes that are explicitly stated in the provided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What they do (as stated in sources)</w:t>
            </w:r>
          </w:p>
        </w:tc>
        <w:tc>
          <w:tcPr/>
          <w:p>
            <w:pPr>
              <w:pStyle w:val="Compact"/>
            </w:pPr>
            <w:r>
              <w:t xml:space="preserve">Defense-relevant compliance and quality indicators</w:t>
            </w:r>
          </w:p>
        </w:tc>
        <w:tc>
          <w:tcPr/>
          <w:p>
            <w:pPr>
              <w:pStyle w:val="Compact"/>
            </w:pPr>
            <w:r>
              <w:t xml:space="preserve">Notes on integration and capability</w:t>
            </w:r>
          </w:p>
        </w:tc>
      </w:tr>
      <w:tr>
        <w:tc>
          <w:tcPr/>
          <w:p>
            <w:pPr>
              <w:pStyle w:val="Compact"/>
            </w:pPr>
            <w:r>
              <w:t xml:space="preserve">Electron Energy Corporation (EEC)</w:t>
            </w:r>
          </w:p>
        </w:tc>
        <w:tc>
          <w:tcPr/>
          <w:p>
            <w:pPr>
              <w:pStyle w:val="Compact"/>
            </w:pPr>
            <w:r>
              <w:t xml:space="preserve">Specializes in RECo5 and RE2TM17 type sintered magnets. Purchases pure raw materials (Sm, Co, Fe, Cu, Zr) for in-house production of SmCo 1:5 and 2:17 alloys.</w:t>
            </w:r>
          </w:p>
        </w:tc>
        <w:tc>
          <w:tcPr/>
          <w:p>
            <w:pPr>
              <w:pStyle w:val="Compact"/>
            </w:pPr>
            <w:r>
              <w:t xml:space="preserve">ITAR compliant and DDTC registered. Certified to AS9100D and ISO 9001:2015.</w:t>
            </w:r>
          </w:p>
        </w:tc>
        <w:tc>
          <w:tcPr/>
          <w:p>
            <w:pPr>
              <w:pStyle w:val="Compact"/>
            </w:pPr>
            <w:r>
              <w:t xml:space="preserve">Joined Magnetic Holdings, LLC (parent of Dexter and MCE). A press release describes this as creating a group of leading permanent magnet firms with a “vertically integrated manufacturing process” to create a robust and resilient supply chain.</w:t>
            </w:r>
          </w:p>
        </w:tc>
      </w:tr>
      <w:tr>
        <w:tc>
          <w:tcPr/>
          <w:p>
            <w:pPr>
              <w:pStyle w:val="Compact"/>
            </w:pPr>
            <w:r>
              <w:t xml:space="preserve">Arnold Magnetic Technologies</w:t>
            </w:r>
          </w:p>
        </w:tc>
        <w:tc>
          <w:tcPr/>
          <w:p>
            <w:pPr>
              <w:pStyle w:val="Compact"/>
            </w:pPr>
            <w:r>
              <w:t xml:space="preserve">Described as a U.S.-based industrial magnet manufacturer specializing in high-performance permanent magnets and assemblies for demanding markets such as aerospace and defense. Based in Rochester, NY with an operating history of over 130 years and serving aerospace and defense among other end-markets.</w:t>
            </w:r>
          </w:p>
        </w:tc>
        <w:tc>
          <w:tcPr/>
          <w:p>
            <w:pPr>
              <w:pStyle w:val="Compact"/>
            </w:pPr>
            <w:r>
              <w:t xml:space="preserve">States that all locations in its RECOMA supply chain are registered with ITAR and can adhere to DFAR clauses. Lists ISO 9001:2015 and AS 9100 Rev D.</w:t>
            </w:r>
          </w:p>
        </w:tc>
        <w:tc>
          <w:tcPr/>
          <w:p>
            <w:pPr>
              <w:pStyle w:val="Compact"/>
            </w:pPr>
            <w:r>
              <w:t xml:space="preserve">States it has established domestic supply chains for rare earth materials to ensure compliance with DoD requirements. A defense-facing example also cites its RECOMA 35E SmCo grade for 150–250 °C and high-speed applications (100,000 rpm+).</w:t>
            </w:r>
          </w:p>
        </w:tc>
      </w:tr>
      <w:tr>
        <w:tc>
          <w:tcPr/>
          <w:p>
            <w:pPr>
              <w:pStyle w:val="Compact"/>
            </w:pPr>
            <w:r>
              <w:t xml:space="preserve">VACUUMSCHMELZE (VAC)</w:t>
            </w:r>
          </w:p>
        </w:tc>
        <w:tc>
          <w:tcPr/>
          <w:p>
            <w:pPr>
              <w:pStyle w:val="Compact"/>
            </w:pPr>
            <w:r>
              <w:t xml:space="preserve">Described as one of the leading global manufacturers of advanced magnetic materials and related products. Provides VACOMAX SmCo material made from rare-earths and cobalt.</w:t>
            </w:r>
          </w:p>
        </w:tc>
        <w:tc>
          <w:tcPr/>
          <w:p>
            <w:pPr>
              <w:pStyle w:val="Compact"/>
            </w:pPr>
            <w:r>
              <w:t xml:space="preserve">(No explicit ITAR/AS9100 statements in the provided quotes.)</w:t>
            </w:r>
          </w:p>
        </w:tc>
        <w:tc>
          <w:tcPr/>
          <w:p>
            <w:pPr>
              <w:pStyle w:val="Compact"/>
            </w:pPr>
            <w:r>
              <w:t xml:space="preserve">States it has state-of-the-art facilities for further processing methods including wire-EDM. Announced an MoU with Ucore and e-VAC Magnetics to evaluate a collaborative supply agreement for high-purity rare earth oxides.</w:t>
            </w:r>
          </w:p>
        </w:tc>
      </w:tr>
      <w:tr>
        <w:tc>
          <w:tcPr/>
          <w:p>
            <w:pPr>
              <w:pStyle w:val="Compact"/>
            </w:pPr>
            <w:r>
              <w:t xml:space="preserve">MP Materials</w:t>
            </w:r>
          </w:p>
        </w:tc>
        <w:tc>
          <w:tcPr/>
          <w:p>
            <w:pPr>
              <w:pStyle w:val="Compact"/>
            </w:pPr>
            <w:r>
              <w:t xml:space="preserve">Described (in the provided source) as presenting a “mine-to-magnet story,” with NdPr metal online, trial sintered magnets running, and guidance to ~1,000 t/yr of finished magnets with a ramp beginning late 2025.</w:t>
            </w:r>
          </w:p>
        </w:tc>
        <w:tc>
          <w:tcPr/>
          <w:p>
            <w:pPr>
              <w:pStyle w:val="Compact"/>
            </w:pPr>
            <w:r>
              <w:t xml:space="preserve">(No defense certifications in the provided quote.)</w:t>
            </w:r>
          </w:p>
        </w:tc>
        <w:tc>
          <w:tcPr/>
          <w:p>
            <w:pPr>
              <w:pStyle w:val="Compact"/>
            </w:pPr>
            <w:r>
              <w:t xml:space="preserve">Positioned in the provided source as a domestic capacity expansion relevant to supply chain resilience for NdFeB magnets.</w:t>
            </w:r>
          </w:p>
        </w:tc>
      </w:tr>
    </w:tbl>
    <w:bookmarkEnd w:id="40"/>
    <w:bookmarkEnd w:id="41"/>
    <w:bookmarkStart w:id="46" w:name="qualification-and-testing-requirements"/>
    <w:p>
      <w:pPr>
        <w:pStyle w:val="Heading2"/>
      </w:pPr>
      <w:r>
        <w:t xml:space="preserve">Qualification and Testing Requirements</w:t>
      </w:r>
    </w:p>
    <w:p>
      <w:pPr>
        <w:pStyle w:val="FirstParagraph"/>
      </w:pPr>
      <w:r>
        <w:t xml:space="preserve">The sources describe a qualification and acceptance ecosystem that combines magnetic property verification, dimensional and flux checks, materials and defect inspection, and environmental/corrosion testing tied to coatings and corrosion susceptibility. In defense procurement contexts, these technical requirements interact with compliance frameworks such as ITAR/DDTC registration and DFARS sourcing requirements and disclosures described by GAO and supplier statements.</w:t>
      </w:r>
    </w:p>
    <w:bookmarkStart w:id="42" w:name="magnetic-property-qualification"/>
    <w:p>
      <w:pPr>
        <w:pStyle w:val="Heading3"/>
      </w:pPr>
      <w:r>
        <w:t xml:space="preserve">Magnetic property qualification</w:t>
      </w:r>
    </w:p>
    <w:p>
      <w:pPr>
        <w:pStyle w:val="FirstParagraph"/>
      </w:pPr>
      <w:r>
        <w:t xml:space="preserve">A manufacturing process reference states that full second-quadrant demagnetization curves are required from a representative sample from each batch of magnets, and that a batch is typically defined as the load from the final heat treatment furnace. The same reference notes that it may also be necessary to measure side-to-side flux using a Hall probe and Gauss meter.</w:t>
      </w:r>
    </w:p>
    <w:p>
      <w:pPr>
        <w:pStyle w:val="BodyText"/>
      </w:pPr>
      <w:r>
        <w:t xml:space="preserve">Magnetic measurement instrumentation and field levels in the provided sources include vibrating sample magnetometer (VSM) measurements with a maximum field of 9 T in one study, and demagnetization curve measurements using a permagraph with maximum applied field reported as 1500 kA/m after magnetization by a 6 T field in another report. A further source describes evaluation using a pulse-excitation-type BH tracer or a superconducting magnet-based VSM with magnetic field range of approximately 4775 kA·m⁻¹ (as stated).</w:t>
      </w:r>
    </w:p>
    <w:p>
      <w:pPr>
        <w:pStyle w:val="BodyText"/>
      </w:pPr>
      <w:r>
        <w:t xml:space="preserve">For elevated-temperature magnetic measurements, an Arnold measurement white paper notes that some hysteresisgraphs have heated pole shoes or a heated sample holder enabling measurements up to +200 °C, and that a pulse field magnetometer (PFM) can measure magnetic properties in a temperature range of −40 to 220 °C (depending on the manufacturer).</w:t>
      </w:r>
    </w:p>
    <w:bookmarkEnd w:id="42"/>
    <w:bookmarkStart w:id="43" w:name="mechanical-and-defect-inspection"/>
    <w:p>
      <w:pPr>
        <w:pStyle w:val="Heading3"/>
      </w:pPr>
      <w:r>
        <w:t xml:space="preserve">Mechanical and defect inspection</w:t>
      </w:r>
    </w:p>
    <w:p>
      <w:pPr>
        <w:pStyle w:val="FirstParagraph"/>
      </w:pPr>
      <w:r>
        <w:t xml:space="preserve">Mechanical testing examples in the provided sources include flexural strength determination via three-point bending on an Instron 5944 universal test machine in one SmCo-focused study. Materials quality checks in a separate study include oxygen content measurement using an Eltra ON 900 oxygen/nitrogen analyzer and density measurement by Archimedes’ principle.</w:t>
      </w:r>
    </w:p>
    <w:p>
      <w:pPr>
        <w:pStyle w:val="BodyText"/>
      </w:pPr>
      <w:r>
        <w:t xml:space="preserve">Non-destructive inspection is also described. One source states that applying ultrasonic testing (UT) allows users to analyze internal defects such as inclusions, porosity, and microcracks, and can identify locations of internal anomalies within Sm-Co sintered magnets. The same source argues UT can improve manufacturing efficiency and machinability, reduce scrap, and increase the use of what would be post-production waste while enhancing reuse and recycling at end-of-life disposition.</w:t>
      </w:r>
    </w:p>
    <w:bookmarkEnd w:id="43"/>
    <w:bookmarkStart w:id="44" w:name="Xfb1299b9f5e4e4d9d87876eb45fe9ceb4c08026"/>
    <w:p>
      <w:pPr>
        <w:pStyle w:val="Heading3"/>
      </w:pPr>
      <w:r>
        <w:t xml:space="preserve">Corrosion, coatings, and environmental testing</w:t>
      </w:r>
    </w:p>
    <w:p>
      <w:pPr>
        <w:pStyle w:val="FirstParagraph"/>
      </w:pPr>
      <w:r>
        <w:t xml:space="preserve">The sources indicate corrosion susceptibility varies by magnet system, with one source stating “these magnets have a poor corrosion resistance and must be protected,” and reporting a salt spray test example using 5% NaCl solution continuously sprayed at 35 ± 2 °C for 72 hours on magnetized and demagnetized samples. Coating standards and methods are also cited: MIL-C-26074E requires that coated test specimens be exposed to neutral salt-spray testing in accordance with ASTM B117 for 100 hours for electroless nickel coatings (as stated in the cited document). Parylene is cited as a military specification conformal coating under MIL-I-46058.</w:t>
      </w:r>
    </w:p>
    <w:p>
      <w:pPr>
        <w:pStyle w:val="BodyText"/>
      </w:pPr>
      <w:r>
        <w:t xml:space="preserve">Corrosion-performance impacts from diffusion processing are also referenced in the dataset, with one report stating that Tafel tests reveal Dy-diffused magnets have higher corrosion resistance with more positive equilibrium potential and lower corrosion current density (as described).</w:t>
      </w:r>
    </w:p>
    <w:bookmarkEnd w:id="44"/>
    <w:bookmarkStart w:id="45" w:name="compliance-and-sourcing-requirements"/>
    <w:p>
      <w:pPr>
        <w:pStyle w:val="Heading3"/>
      </w:pPr>
      <w:r>
        <w:t xml:space="preserve">Compliance and sourcing requirements</w:t>
      </w:r>
    </w:p>
    <w:p>
      <w:pPr>
        <w:pStyle w:val="FirstParagraph"/>
      </w:pPr>
      <w:r>
        <w:t xml:space="preserve">Supplier certifications and registrations are explicitly cited in the dataset for U.S. defense-facing suppliers, including Arnold’s statements of ISO 9001:2015 and AS 9100 Rev D, and that all locations in its Samarium Cobalt RECOMA supply chain are registered with ITAR and can adhere to DFAR clauses. EEC likewise states ITAR compliance and DDTC registration and lists certification to AS9100D and ISO 9001:2015.</w:t>
      </w:r>
    </w:p>
    <w:p>
      <w:pPr>
        <w:pStyle w:val="BodyText"/>
      </w:pPr>
      <w:r>
        <w:t xml:space="preserve">At the policy level, GAO reports DFARS rulemaking completion for an expanded prohibition effective January 1, 2027, and that DoD will have to require contractor disclosure of the source of certain rare earth permanent magnets used in DoD systems. The Federal Register excerpt cited in the dataset also notes DFARS authority for nonavailability determinations when compliant materials are unavailable (DFARS 225.7018-4).</w:t>
      </w:r>
    </w:p>
    <w:bookmarkEnd w:id="45"/>
    <w:bookmarkEnd w:id="46"/>
    <w:bookmarkStart w:id="50" w:name="gaps-and-recommendations"/>
    <w:p>
      <w:pPr>
        <w:pStyle w:val="Heading2"/>
      </w:pPr>
      <w:r>
        <w:t xml:space="preserve">Gaps and Recommendations</w:t>
      </w:r>
    </w:p>
    <w:p>
      <w:pPr>
        <w:pStyle w:val="FirstParagraph"/>
      </w:pPr>
      <w:r>
        <w:t xml:space="preserve">The provided sources offer multiple explicit entry points for process-improvement and waste-management interventions, particularly at the machining stage where the largest reported material losses occur and where swarf streams can contain both cutting fluids and magnetic powders. They also explicitly describe inspection and testing practices (e.g., batch-defined demagnetization curves and UT for internal defects) that can be used to reduce scrap and support qualification confidence, which is directly relevant to both cost and sustainability in defense-grade supply chains.</w:t>
      </w:r>
    </w:p>
    <w:bookmarkStart w:id="47" w:name="Xc225532547704a2d689c498dfc3b8fd623e5d5e"/>
    <w:p>
      <w:pPr>
        <w:pStyle w:val="Heading3"/>
      </w:pPr>
      <w:r>
        <w:t xml:space="preserve">Recommendations for a wastewater and waste-stream technology provider</w:t>
      </w:r>
    </w:p>
    <w:p>
      <w:pPr>
        <w:pStyle w:val="FirstParagraph"/>
      </w:pPr>
      <w:r>
        <w:t xml:space="preserve">A wastewater-focused provider targeting defense-grade magnet manufacturing can align offerings to the waste stream and compliance characteristics described in the sources. The following recommendations are grounded in the waste and testing descriptions explicitly cited.</w:t>
      </w:r>
    </w:p>
    <w:p>
      <w:pPr>
        <w:pStyle w:val="Compact"/>
        <w:numPr>
          <w:ilvl w:val="0"/>
          <w:numId w:val="1001"/>
        </w:numPr>
      </w:pPr>
      <w:r>
        <w:t xml:space="preserve">Prioritize treatment and separation solutions for swarf streams that may include cutting fluids and fine magnetic powders, because the NdFeB supply chain report explicitly states swarf “can contain” both cutting fluids and magnetic powder, and that cutting occurs before magnetization.</w:t>
      </w:r>
    </w:p>
    <w:p>
      <w:pPr>
        <w:pStyle w:val="Compact"/>
        <w:numPr>
          <w:ilvl w:val="0"/>
          <w:numId w:val="1001"/>
        </w:numPr>
      </w:pPr>
      <w:r>
        <w:t xml:space="preserve">Quantify and design for high variability in swarf volume driven by machining yield, because a public report states machining recovery ranges from 60–90% depending on magnet size and complexity (10–40% waste), and because SmCo brittleness can drive additional losses and failures (e.g., up to 20–30% volume loss attributed to brittleness in one source and up to 20% machining failure rates in another).</w:t>
      </w:r>
    </w:p>
    <w:p>
      <w:pPr>
        <w:pStyle w:val="Compact"/>
        <w:numPr>
          <w:ilvl w:val="0"/>
          <w:numId w:val="1001"/>
        </w:numPr>
      </w:pPr>
      <w:r>
        <w:t xml:space="preserve">Integrate inspection-enabled quality control offerings where appropriate, because UT is described as a method to locate internal anomalies such as inclusions, porosity, and microcracks in Sm-Co sintered magnets and as enabling reduced scrap and increased use of post-production waste and recycling opportunities.</w:t>
      </w:r>
    </w:p>
    <w:bookmarkEnd w:id="47"/>
    <w:bookmarkStart w:id="48" w:name="Xac533406d2162d3dc9561d905bb2f9e4107c199"/>
    <w:p>
      <w:pPr>
        <w:pStyle w:val="Heading3"/>
      </w:pPr>
      <w:r>
        <w:t xml:space="preserve">Recommendations for defense primes and magnet suppliers</w:t>
      </w:r>
    </w:p>
    <w:p>
      <w:pPr>
        <w:pStyle w:val="FirstParagraph"/>
      </w:pPr>
      <w:r>
        <w:t xml:space="preserve">DFARS-related disclosure and sourcing requirements described by GAO indicate that procurement teams should treat traceability and source documentation as schedule-critical deliverables, not merely contractual boilerplate. Supplier-facing recommendations supported by the provided sources include:</w:t>
      </w:r>
    </w:p>
    <w:p>
      <w:pPr>
        <w:pStyle w:val="Compact"/>
        <w:numPr>
          <w:ilvl w:val="0"/>
          <w:numId w:val="1002"/>
        </w:numPr>
      </w:pPr>
      <w:r>
        <w:t xml:space="preserve">Plan qualification around batch-based sampling defined by final heat treatment furnace loads and include full second-quadrant demagnetization curves and flux checks where needed, because these are explicitly described as batch-level requirements and practices in a manufacturing process reference.</w:t>
      </w:r>
    </w:p>
    <w:p>
      <w:pPr>
        <w:pStyle w:val="Compact"/>
        <w:numPr>
          <w:ilvl w:val="0"/>
          <w:numId w:val="1002"/>
        </w:numPr>
      </w:pPr>
      <w:r>
        <w:t xml:space="preserve">Where corrosion risk is material (e.g., in magnets described as having poor corrosion resistance), align coating selection and validation with salt-spray practices and military coating specifications cited in the sources (e.g., ASTM B117 salt-spray tests and MIL-C-26074E for electroless nickel; MIL-I-46058 for parylene).</w:t>
      </w:r>
    </w:p>
    <w:bookmarkEnd w:id="48"/>
    <w:bookmarkStart w:id="49" w:name="policy-and-ecosystem-signals"/>
    <w:p>
      <w:pPr>
        <w:pStyle w:val="Heading3"/>
      </w:pPr>
      <w:r>
        <w:t xml:space="preserve">Policy and ecosystem signals</w:t>
      </w:r>
    </w:p>
    <w:p>
      <w:pPr>
        <w:pStyle w:val="FirstParagraph"/>
      </w:pPr>
      <w:r>
        <w:t xml:space="preserve">Policy actions in the sources reinforce that defense magnet supply chains are a national priority, including DoD’s stated effort to establish a “Mine-to-Magnet” supply chain and the reported $439 million in awards since 2020 to reestablish domestic rare earth supply chains. Congressional proposals cited in the dataset further include bills directing DOE consortium research on REE extraction and establishing DoD grant programs authorizing $50 million per year for four years to encourage domestic development of critical minerals, reflecting sustained legislative interest in reducing vulnerability associated with globalized supply chains. Additional proposals would create federally chartered entities to mitigate high costs and radioactive byproducts potentially associated with REE extraction from minerals found with radioactive elements.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2026-02-12T13:18:26Z</dcterms:created>
  <dcterms:modified xsi:type="dcterms:W3CDTF">2026-02-12T13:18:26Z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