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83056a3116fb68e6eb76efb78d961dfe1937ac"/>
    <w:p>
      <w:pPr>
        <w:pStyle w:val="Heading1"/>
      </w:pPr>
      <w:r>
        <w:t xml:space="preserve">Recoverable Rare Earth Value from Defense-Grade Magnet Machining Swarf</w:t>
      </w:r>
    </w:p>
    <w:bookmarkStart w:id="20" w:name="X85cca3671ac9be764506652e66fb13e2e6f2a85"/>
    <w:p>
      <w:pPr>
        <w:pStyle w:val="Heading2"/>
      </w:pPr>
      <w:r>
        <w:t xml:space="preserve">1. Input assumptions</w:t>
      </w:r>
    </w:p>
    <w:p>
      <w:pPr>
        <w:pStyle w:val="FirstParagraph"/>
      </w:pPr>
      <w:r>
        <w:t xml:space="preserve">This economic model uses two reference machining-swarf compositions as representative feedstocks for high-performance permanent magnets (NdFeB and SmCo) and treats them as “typical” rather than universal, because actual chemistry varies by grade and program requirements.</w:t>
      </w:r>
    </w:p>
    <w:p>
      <w:pPr>
        <w:pStyle w:val="BodyText"/>
      </w:pPr>
      <w:r>
        <w:t xml:space="preserve">The reference compositions applied throughout the calculations are:</w:t>
      </w:r>
    </w:p>
    <w:p>
      <w:pPr>
        <w:pStyle w:val="Compact"/>
        <w:numPr>
          <w:ilvl w:val="0"/>
          <w:numId w:val="1001"/>
        </w:numPr>
      </w:pPr>
      <w:r>
        <w:rPr>
          <w:b/>
          <w:bCs/>
        </w:rPr>
        <w:t xml:space="preserve">NdFeB swarf</w:t>
      </w:r>
      <w:r>
        <w:t xml:space="preserve">: ~25 wt% Nd, ~5 wt% Pr, ~3 wt% Dy, ~65 wt% Fe, ~1 wt% B.</w:t>
      </w:r>
    </w:p>
    <w:p>
      <w:pPr>
        <w:pStyle w:val="Compact"/>
        <w:numPr>
          <w:ilvl w:val="0"/>
          <w:numId w:val="1001"/>
        </w:numPr>
      </w:pPr>
      <w:r>
        <w:rPr>
          <w:b/>
          <w:bCs/>
        </w:rPr>
        <w:t xml:space="preserve">SmCo (Sm2Co17) swarf</w:t>
      </w:r>
      <w:r>
        <w:t xml:space="preserve">: ~23 wt% Sm, ~50 wt% Co, ~15 wt% Fe, ~7 wt% Cu, ~2 wt% Zr.</w:t>
      </w:r>
    </w:p>
    <w:p>
      <w:pPr>
        <w:pStyle w:val="FirstParagraph"/>
      </w:pPr>
      <w:r>
        <w:t xml:space="preserve">Because the value model is intended to be relevant to “high-temperature”/high-coercivity magnet grades, the dysprosium content is treated as a key sensitivity variable. One source notes that NdFeB magnets for high-temperature applications can include</w:t>
      </w:r>
      <w:r>
        <w:t xml:space="preserve"> </w:t>
      </w:r>
      <w:r>
        <w:rPr>
          <w:b/>
          <w:bCs/>
        </w:rPr>
        <w:t xml:space="preserve">up to 11 wt% Dy</w:t>
      </w:r>
      <w:r>
        <w:t xml:space="preserve"> </w:t>
      </w:r>
      <w:r>
        <w:t xml:space="preserve">(as an alloying addition) to maintain coercivity at elevated temperature, implying that Dy content can materially exceed the 3 wt% reference value in some high-temperature magnets.</w:t>
      </w:r>
    </w:p>
    <w:bookmarkEnd w:id="20"/>
    <w:bookmarkStart w:id="21" w:name="X9438e5fc4214dcc8b3c7b31d7515f192c6cae9f"/>
    <w:p>
      <w:pPr>
        <w:pStyle w:val="Heading2"/>
      </w:pPr>
      <w:r>
        <w:t xml:space="preserve">2. Commodity price inputs</w:t>
      </w:r>
    </w:p>
    <w:p>
      <w:pPr>
        <w:pStyle w:val="FirstParagraph"/>
      </w:pPr>
      <w:r>
        <w:t xml:space="preserve">The table below summarizes price points used as inputs, emphasizing 2024–2025 where available and retaining some well-cited early-2026 spot assessments where they provide missing coverage for specific oxides (e.g., terbium) or regional benchmarks. NdPr mixed-oxide prices are included because NdPr oxide is a common traded/intermediate form and can be a useful proxy when individual oxide splitting is not modeled.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w:t>
            </w:r>
          </w:p>
        </w:tc>
        <w:tc>
          <w:tcPr/>
          <w:p>
            <w:pPr>
              <w:pStyle w:val="Compact"/>
              <w:jc w:val="right"/>
            </w:pPr>
            <w:r>
              <w:t xml:space="preserve">Price point used (USD/kg)</w:t>
            </w:r>
          </w:p>
        </w:tc>
        <w:tc>
          <w:tcPr/>
          <w:p>
            <w:pPr>
              <w:pStyle w:val="Compact"/>
            </w:pPr>
            <w:r>
              <w:t xml:space="preserve">Date and basis</w:t>
            </w:r>
          </w:p>
        </w:tc>
        <w:tc>
          <w:tcPr/>
          <w:p>
            <w:pPr>
              <w:pStyle w:val="Compact"/>
            </w:pPr>
            <w:r>
              <w:t xml:space="preserve">Source</w:t>
            </w:r>
          </w:p>
        </w:tc>
      </w:tr>
      <w:tr>
        <w:tc>
          <w:tcPr/>
          <w:p>
            <w:pPr>
              <w:pStyle w:val="Compact"/>
            </w:pPr>
            <w:r>
              <w:t xml:space="preserve">Neodymium oxide (Nd oxide, 99.5–99.9% FOB)</w:t>
            </w:r>
          </w:p>
        </w:tc>
        <w:tc>
          <w:tcPr/>
          <w:p>
            <w:pPr>
              <w:pStyle w:val="Compact"/>
              <w:jc w:val="right"/>
            </w:pPr>
            <w:r>
              <w:t xml:space="preserve">55.27–56.27</w:t>
            </w:r>
          </w:p>
        </w:tc>
        <w:tc>
          <w:tcPr/>
          <w:p>
            <w:pPr>
              <w:pStyle w:val="Compact"/>
            </w:pPr>
            <w:r>
              <w:t xml:space="preserve">May 2024 average, FOB</w:t>
            </w:r>
          </w:p>
        </w:tc>
        <w:tc>
          <w:tcPr/>
          <w:p>
            <w:pPr>
              <w:pStyle w:val="Compact"/>
            </w:pPr>
            <w:r>
              <w:t xml:space="preserve">Argus sample report</w:t>
            </w:r>
          </w:p>
        </w:tc>
      </w:tr>
      <w:tr>
        <w:tc>
          <w:tcPr/>
          <w:p>
            <w:pPr>
              <w:pStyle w:val="Compact"/>
            </w:pPr>
            <w:r>
              <w:t xml:space="preserve">Neodymium oxide (Nd oxide, 99.5–99.9% FOB)</w:t>
            </w:r>
          </w:p>
        </w:tc>
        <w:tc>
          <w:tcPr/>
          <w:p>
            <w:pPr>
              <w:pStyle w:val="Compact"/>
              <w:jc w:val="right"/>
            </w:pPr>
            <w:r>
              <w:t xml:space="preserve">55.77</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Praseodymium oxide (Pr oxide, 99.5–99.9% FOB)</w:t>
            </w:r>
          </w:p>
        </w:tc>
        <w:tc>
          <w:tcPr/>
          <w:p>
            <w:pPr>
              <w:pStyle w:val="Compact"/>
              <w:jc w:val="right"/>
            </w:pPr>
            <w:r>
              <w:t xml:space="preserve">55.36–56.36</w:t>
            </w:r>
          </w:p>
        </w:tc>
        <w:tc>
          <w:tcPr/>
          <w:p>
            <w:pPr>
              <w:pStyle w:val="Compact"/>
            </w:pPr>
            <w:r>
              <w:t xml:space="preserve">May 2024 average, FOB</w:t>
            </w:r>
          </w:p>
        </w:tc>
        <w:tc>
          <w:tcPr/>
          <w:p>
            <w:pPr>
              <w:pStyle w:val="Compact"/>
            </w:pPr>
            <w:r>
              <w:t xml:space="preserve">Argus sample report</w:t>
            </w:r>
          </w:p>
        </w:tc>
      </w:tr>
      <w:tr>
        <w:tc>
          <w:tcPr/>
          <w:p>
            <w:pPr>
              <w:pStyle w:val="Compact"/>
            </w:pPr>
            <w:r>
              <w:t xml:space="preserve">Praseodymium oxide (Pr oxide, 99.5–99.9% FOB)</w:t>
            </w:r>
          </w:p>
        </w:tc>
        <w:tc>
          <w:tcPr/>
          <w:p>
            <w:pPr>
              <w:pStyle w:val="Compact"/>
              <w:jc w:val="right"/>
            </w:pPr>
            <w:r>
              <w:t xml:space="preserve">54.58</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NdPr oxide (99% NdPr oxide, ex-works)</w:t>
            </w:r>
          </w:p>
        </w:tc>
        <w:tc>
          <w:tcPr/>
          <w:p>
            <w:pPr>
              <w:pStyle w:val="Compact"/>
              <w:jc w:val="right"/>
            </w:pPr>
            <w:r>
              <w:t xml:space="preserve">50.94–51.35</w:t>
            </w:r>
          </w:p>
        </w:tc>
        <w:tc>
          <w:tcPr/>
          <w:p>
            <w:pPr>
              <w:pStyle w:val="Compact"/>
            </w:pPr>
            <w:r>
              <w:t xml:space="preserve">June 4, 2024, ex-works (yuan/kg converted in-report)</w:t>
            </w:r>
          </w:p>
        </w:tc>
        <w:tc>
          <w:tcPr/>
          <w:p>
            <w:pPr>
              <w:pStyle w:val="Compact"/>
            </w:pPr>
            <w:r>
              <w:t xml:space="preserve">Argus sample report</w:t>
            </w:r>
          </w:p>
        </w:tc>
      </w:tr>
      <w:tr>
        <w:tc>
          <w:tcPr/>
          <w:p>
            <w:pPr>
              <w:pStyle w:val="Compact"/>
            </w:pPr>
            <w:r>
              <w:t xml:space="preserve">Dysprosium oxide (Dy oxide, 99.5% FOB export)</w:t>
            </w:r>
          </w:p>
        </w:tc>
        <w:tc>
          <w:tcPr/>
          <w:p>
            <w:pPr>
              <w:pStyle w:val="Compact"/>
              <w:jc w:val="right"/>
            </w:pPr>
            <w:r>
              <w:t xml:space="preserve">265–270</w:t>
            </w:r>
          </w:p>
        </w:tc>
        <w:tc>
          <w:tcPr/>
          <w:p>
            <w:pPr>
              <w:pStyle w:val="Compact"/>
            </w:pPr>
            <w:r>
              <w:t xml:space="preserve">June 2024 export assessment, FOB China</w:t>
            </w:r>
          </w:p>
        </w:tc>
        <w:tc>
          <w:tcPr/>
          <w:p>
            <w:pPr>
              <w:pStyle w:val="Compact"/>
            </w:pPr>
            <w:r>
              <w:t xml:space="preserve">Argus sample report</w:t>
            </w:r>
          </w:p>
        </w:tc>
      </w:tr>
      <w:tr>
        <w:tc>
          <w:tcPr/>
          <w:p>
            <w:pPr>
              <w:pStyle w:val="Compact"/>
            </w:pPr>
            <w:r>
              <w:t xml:space="preserve">Terbium oxide (Tb oxide, 99.99% FOB export)</w:t>
            </w:r>
          </w:p>
        </w:tc>
        <w:tc>
          <w:tcPr/>
          <w:p>
            <w:pPr>
              <w:pStyle w:val="Compact"/>
              <w:jc w:val="right"/>
            </w:pPr>
            <w:r>
              <w:t xml:space="preserve">815–835</w:t>
            </w:r>
          </w:p>
        </w:tc>
        <w:tc>
          <w:tcPr/>
          <w:p>
            <w:pPr>
              <w:pStyle w:val="Compact"/>
            </w:pPr>
            <w:r>
              <w:t xml:space="preserve">June 2024 export assessment, FOB</w:t>
            </w:r>
          </w:p>
        </w:tc>
        <w:tc>
          <w:tcPr/>
          <w:p>
            <w:pPr>
              <w:pStyle w:val="Compact"/>
            </w:pPr>
            <w:r>
              <w:t xml:space="preserve">Argus sample report</w:t>
            </w:r>
          </w:p>
        </w:tc>
      </w:tr>
      <w:tr>
        <w:tc>
          <w:tcPr/>
          <w:p>
            <w:pPr>
              <w:pStyle w:val="Compact"/>
            </w:pPr>
            <w:r>
              <w:t xml:space="preserve">Samarium oxide (Sm oxide, 99.5% FOB)</w:t>
            </w:r>
          </w:p>
        </w:tc>
        <w:tc>
          <w:tcPr/>
          <w:p>
            <w:pPr>
              <w:pStyle w:val="Compact"/>
              <w:jc w:val="right"/>
            </w:pPr>
            <w:r>
              <w:t xml:space="preserve">2.01</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Samarium metal (Sm metal, min 99% FOB)</w:t>
            </w:r>
          </w:p>
        </w:tc>
        <w:tc>
          <w:tcPr/>
          <w:p>
            <w:pPr>
              <w:pStyle w:val="Compact"/>
              <w:jc w:val="right"/>
            </w:pPr>
            <w:r>
              <w:t xml:space="preserve">12.25</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Cobalt metal (U.S. spot)</w:t>
            </w:r>
          </w:p>
        </w:tc>
        <w:tc>
          <w:tcPr/>
          <w:p>
            <w:pPr>
              <w:pStyle w:val="Compact"/>
              <w:jc w:val="right"/>
            </w:pPr>
            <w:r>
              <w:t xml:space="preserve">33.83</w:t>
            </w:r>
          </w:p>
        </w:tc>
        <w:tc>
          <w:tcPr/>
          <w:p>
            <w:pPr>
              <w:pStyle w:val="Compact"/>
            </w:pPr>
            <w:r>
              <w:t xml:space="preserve">January 2025 U.S. spot price</w:t>
            </w:r>
          </w:p>
        </w:tc>
        <w:tc>
          <w:tcPr/>
          <w:p>
            <w:pPr>
              <w:pStyle w:val="Compact"/>
            </w:pPr>
            <w:r>
              <w:t xml:space="preserve">USGS monthly commodity summary</w:t>
            </w:r>
          </w:p>
        </w:tc>
      </w:tr>
      <w:tr>
        <w:tc>
          <w:tcPr/>
          <w:p>
            <w:pPr>
              <w:pStyle w:val="Compact"/>
            </w:pPr>
            <w:r>
              <w:t xml:space="preserve">Cobalt metal (LME average)</w:t>
            </w:r>
          </w:p>
        </w:tc>
        <w:tc>
          <w:tcPr/>
          <w:p>
            <w:pPr>
              <w:pStyle w:val="Compact"/>
              <w:jc w:val="right"/>
            </w:pPr>
            <w:r>
              <w:t xml:space="preserve">23.63</w:t>
            </w:r>
          </w:p>
        </w:tc>
        <w:tc>
          <w:tcPr/>
          <w:p>
            <w:pPr>
              <w:pStyle w:val="Compact"/>
            </w:pPr>
            <w:r>
              <w:t xml:space="preserve">January 2025 LME average price</w:t>
            </w:r>
          </w:p>
        </w:tc>
        <w:tc>
          <w:tcPr/>
          <w:p>
            <w:pPr>
              <w:pStyle w:val="Compact"/>
            </w:pPr>
            <w:r>
              <w:t xml:space="preserve">USGS monthly commodity summary</w:t>
            </w:r>
          </w:p>
        </w:tc>
      </w:tr>
    </w:tbl>
    <w:bookmarkEnd w:id="21"/>
    <w:bookmarkStart w:id="25" w:name="X6e98ed5006b9249ae94f9cb75799e04ba4417e4"/>
    <w:p>
      <w:pPr>
        <w:pStyle w:val="Heading2"/>
      </w:pPr>
      <w:r>
        <w:t xml:space="preserve">3. NdFeB swarf value model</w:t>
      </w:r>
    </w:p>
    <w:bookmarkStart w:id="22" w:name="X8e1326bc3fd268f7d776b2160035884929233f7"/>
    <w:p>
      <w:pPr>
        <w:pStyle w:val="Heading3"/>
      </w:pPr>
      <w:r>
        <w:t xml:space="preserve">3.1 Approach</w:t>
      </w:r>
    </w:p>
    <w:p>
      <w:pPr>
        <w:pStyle w:val="FirstParagraph"/>
      </w:pPr>
      <w:r>
        <w:t xml:space="preserve">Two complementary bottom-up valuation approaches are presented:</w:t>
      </w:r>
    </w:p>
    <w:p>
      <w:pPr>
        <w:numPr>
          <w:ilvl w:val="0"/>
          <w:numId w:val="1002"/>
        </w:numPr>
      </w:pPr>
      <w:r>
        <w:rPr>
          <w:b/>
          <w:bCs/>
        </w:rPr>
        <w:t xml:space="preserve">Element-to-oxide price approach</w:t>
      </w:r>
      <w:r>
        <w:t xml:space="preserve"> </w:t>
      </w:r>
      <w:r>
        <w:t xml:space="preserve">that values recovered Nd oxide, Pr oxide, and Dy oxide using 2024 oxide price points and the reference swarf metal composition (Nd/Pr/Dy wt%).</w:t>
      </w:r>
    </w:p>
    <w:p>
      <w:pPr>
        <w:numPr>
          <w:ilvl w:val="0"/>
          <w:numId w:val="1002"/>
        </w:numPr>
      </w:pPr>
      <w:r>
        <w:rPr>
          <w:b/>
          <w:bCs/>
        </w:rPr>
        <w:t xml:space="preserve">Process-yield approach</w:t>
      </w:r>
      <w:r>
        <w:t xml:space="preserve"> </w:t>
      </w:r>
      <w:r>
        <w:t xml:space="preserve">that uses a published techno-economic model of swarf-to-mixed-REO production capacity (100 t swarf/year → 32 t REO/year), coupled with reported REO composition ranges and mixed-REO selling-price assumptions. This pathway avoids the need to model explicit metal-to-oxide stoichiometric conversions in the prose model and stays closer to documented industrial mass-balance assumptions.</w:t>
      </w:r>
    </w:p>
    <w:p>
      <w:pPr>
        <w:pStyle w:val="FirstParagraph"/>
      </w:pPr>
      <w:r>
        <w:t xml:space="preserve">Both approaches are aligned with literature indicating that high REE recovery is achievable. For example, an acid-free dissolution route reported ~97% REE recovery and &gt;99.5% purity products, with scenario leached efficiencies of 96–99%.</w:t>
      </w:r>
    </w:p>
    <w:bookmarkEnd w:id="22"/>
    <w:bookmarkStart w:id="23" w:name="X25fa43ce5a14b75ac382bb55d9cc1f9c0b03def"/>
    <w:p>
      <w:pPr>
        <w:pStyle w:val="Heading3"/>
      </w:pPr>
      <w:r>
        <w:t xml:space="preserve">3.2 Element-to-oxide price approach</w:t>
      </w:r>
    </w:p>
    <w:p>
      <w:pPr>
        <w:pStyle w:val="FirstParagraph"/>
      </w:pPr>
      <w:r>
        <w:t xml:space="preserve">Using the</w:t>
      </w:r>
      <w:r>
        <w:t xml:space="preserve"> </w:t>
      </w:r>
      <w:r>
        <w:rPr>
          <w:b/>
          <w:bCs/>
        </w:rPr>
        <w:t xml:space="preserve">reference NdFeB swarf composition</w:t>
      </w:r>
      <w:r>
        <w:t xml:space="preserve"> </w:t>
      </w:r>
      <w:r>
        <w:t xml:space="preserve">(per 1 tonne of swarf: 250 kg Nd, 50 kg Pr, 30 kg Dy) and treating the recoverable value as dominated by Nd oxide, Pr oxide, and Dy oxide, the gross value is computed using a representative recovery yield of ~97% (consistent with published REE recovery levels).</w:t>
      </w:r>
    </w:p>
    <w:p>
      <w:pPr>
        <w:pStyle w:val="Compact"/>
        <w:numPr>
          <w:ilvl w:val="0"/>
          <w:numId w:val="1003"/>
        </w:numPr>
      </w:pPr>
      <w:r>
        <w:rPr>
          <w:b/>
          <w:bCs/>
        </w:rPr>
        <w:t xml:space="preserve">Nd value (oxide-priced)</w:t>
      </w:r>
      <w:r>
        <w:t xml:space="preserve">: 250 kg Nd × 97% recovery × $55.27–56.27/kg Nd oxide ≈</w:t>
      </w:r>
      <w:r>
        <w:t xml:space="preserve"> </w:t>
      </w:r>
      <w:r>
        <w:rPr>
          <w:b/>
          <w:bCs/>
        </w:rPr>
        <w:t xml:space="preserve">$13,400–$13,650 per tonne swarf</w:t>
      </w:r>
      <w:r>
        <w:t xml:space="preserve"> </w:t>
      </w:r>
      <w:r>
        <w:t xml:space="preserve">(oxide price range applied).</w:t>
      </w:r>
    </w:p>
    <w:p>
      <w:pPr>
        <w:pStyle w:val="Compact"/>
        <w:numPr>
          <w:ilvl w:val="0"/>
          <w:numId w:val="1003"/>
        </w:numPr>
      </w:pPr>
      <w:r>
        <w:rPr>
          <w:b/>
          <w:bCs/>
        </w:rPr>
        <w:t xml:space="preserve">Pr value (oxide-priced)</w:t>
      </w:r>
      <w:r>
        <w:t xml:space="preserve">: 50 kg Pr × 97% recovery × $55.36–56.36/kg Pr oxide ≈</w:t>
      </w:r>
      <w:r>
        <w:t xml:space="preserve"> </w:t>
      </w:r>
      <w:r>
        <w:rPr>
          <w:b/>
          <w:bCs/>
        </w:rPr>
        <w:t xml:space="preserve">$2,685–$2,733 per tonne swarf</w:t>
      </w:r>
      <w:r>
        <w:t xml:space="preserve">.</w:t>
      </w:r>
    </w:p>
    <w:p>
      <w:pPr>
        <w:pStyle w:val="Compact"/>
        <w:numPr>
          <w:ilvl w:val="0"/>
          <w:numId w:val="1003"/>
        </w:numPr>
      </w:pPr>
      <w:r>
        <w:rPr>
          <w:b/>
          <w:bCs/>
        </w:rPr>
        <w:t xml:space="preserve">Dy value (oxide-priced)</w:t>
      </w:r>
      <w:r>
        <w:t xml:space="preserve">: 30 kg Dy × 97% recovery × $265–270/kg Dy oxide ≈</w:t>
      </w:r>
      <w:r>
        <w:t xml:space="preserve"> </w:t>
      </w:r>
      <w:r>
        <w:rPr>
          <w:b/>
          <w:bCs/>
        </w:rPr>
        <w:t xml:space="preserve">$7,711–$7,857 per tonne swarf</w:t>
      </w:r>
      <w:r>
        <w:t xml:space="preserve">.</w:t>
      </w:r>
    </w:p>
    <w:p>
      <w:pPr>
        <w:pStyle w:val="FirstParagraph"/>
      </w:pPr>
      <w:r>
        <w:t xml:space="preserve">Summing only these oxide-priced REE components yields an indicative gross recoverable value of roughly</w:t>
      </w:r>
      <w:r>
        <w:t xml:space="preserve"> </w:t>
      </w:r>
      <w:r>
        <w:rPr>
          <w:b/>
          <w:bCs/>
        </w:rPr>
        <w:t xml:space="preserve">$23,800–$24,200 per tonne of NdFeB swarf</w:t>
      </w:r>
      <w:r>
        <w:t xml:space="preserve"> </w:t>
      </w:r>
      <w:r>
        <w:t xml:space="preserve">under the reference 3 wt% Dy composition and 2024 oxide price points.</w:t>
      </w:r>
    </w:p>
    <w:p>
      <w:pPr>
        <w:pStyle w:val="BodyText"/>
      </w:pPr>
      <w:r>
        <w:t xml:space="preserve">This result is directionally consistent with published observations that dysprosium can be a major revenue driver in high-Dy feedstocks, because Dy oxide is priced at a materially higher level than Nd oxide in the oxide market data shown above.</w:t>
      </w:r>
    </w:p>
    <w:bookmarkEnd w:id="23"/>
    <w:bookmarkStart w:id="24" w:name="X1b647c2eda83fe52a00187ee44d1ce90e7c8840"/>
    <w:p>
      <w:pPr>
        <w:pStyle w:val="Heading3"/>
      </w:pPr>
      <w:r>
        <w:t xml:space="preserve">3.3 Process-yield approach using mixed REO output</w:t>
      </w:r>
    </w:p>
    <w:p>
      <w:pPr>
        <w:pStyle w:val="FirstParagraph"/>
      </w:pPr>
      <w:r>
        <w:t xml:space="preserve">A published TEA-scale mass balance modeled an industrial operation processing</w:t>
      </w:r>
      <w:r>
        <w:t xml:space="preserve"> </w:t>
      </w:r>
      <w:r>
        <w:rPr>
          <w:b/>
          <w:bCs/>
        </w:rPr>
        <w:t xml:space="preserve">100 metric tons/year of NdFeB magnet swarf</w:t>
      </w:r>
      <w:r>
        <w:t xml:space="preserve"> </w:t>
      </w:r>
      <w:r>
        <w:t xml:space="preserve">to produce</w:t>
      </w:r>
      <w:r>
        <w:t xml:space="preserve"> </w:t>
      </w:r>
      <w:r>
        <w:rPr>
          <w:b/>
          <w:bCs/>
        </w:rPr>
        <w:t xml:space="preserve">32 metric tons/year of REOs</w:t>
      </w:r>
      <w:r>
        <w:t xml:space="preserve">, implying a</w:t>
      </w:r>
      <w:r>
        <w:t xml:space="preserve"> </w:t>
      </w:r>
      <w:r>
        <w:rPr>
          <w:b/>
          <w:bCs/>
        </w:rPr>
        <w:t xml:space="preserve">0.32 tonne REO output per tonne of swarf input</w:t>
      </w:r>
      <w:r>
        <w:t xml:space="preserve"> </w:t>
      </w:r>
      <w:r>
        <w:t xml:space="preserve">(i.e., 320 kg mixed REO per tonne swarf).</w:t>
      </w:r>
    </w:p>
    <w:p>
      <w:pPr>
        <w:pStyle w:val="BodyText"/>
      </w:pPr>
      <w:r>
        <w:t xml:space="preserve">That same analysis reported that the mixed REO output composition contains</w:t>
      </w:r>
      <w:r>
        <w:t xml:space="preserve"> </w:t>
      </w:r>
      <w:r>
        <w:rPr>
          <w:b/>
          <w:bCs/>
        </w:rPr>
        <w:t xml:space="preserve">73–89% Nd2O3</w:t>
      </w:r>
      <w:r>
        <w:t xml:space="preserve">,</w:t>
      </w:r>
      <w:r>
        <w:t xml:space="preserve"> </w:t>
      </w:r>
      <w:r>
        <w:rPr>
          <w:b/>
          <w:bCs/>
        </w:rPr>
        <w:t xml:space="preserve">9–11% Pr2O3</w:t>
      </w:r>
      <w:r>
        <w:t xml:space="preserve">, and</w:t>
      </w:r>
      <w:r>
        <w:t xml:space="preserve"> </w:t>
      </w:r>
      <w:r>
        <w:rPr>
          <w:b/>
          <w:bCs/>
        </w:rPr>
        <w:t xml:space="preserve">0–18% Dy2O3</w:t>
      </w:r>
      <w:r>
        <w:t xml:space="preserve"> </w:t>
      </w:r>
      <w:r>
        <w:t xml:space="preserve">(mixed together).</w:t>
      </w:r>
    </w:p>
    <w:p>
      <w:pPr>
        <w:pStyle w:val="BodyText"/>
      </w:pPr>
      <w:r>
        <w:t xml:space="preserve">Applying those fractions to 320 kg mixed REO per tonne swarf gives oxide-mass ranges per tonne swarf:</w:t>
      </w:r>
    </w:p>
    <w:p>
      <w:pPr>
        <w:pStyle w:val="Compact"/>
        <w:numPr>
          <w:ilvl w:val="0"/>
          <w:numId w:val="1004"/>
        </w:numPr>
      </w:pPr>
      <w:r>
        <w:t xml:space="preserve">Nd oxide in mixed REO: 320 kg × 73–89% =</w:t>
      </w:r>
      <w:r>
        <w:t xml:space="preserve"> </w:t>
      </w:r>
      <w:r>
        <w:rPr>
          <w:b/>
          <w:bCs/>
        </w:rPr>
        <w:t xml:space="preserve">234–285 kg</w:t>
      </w:r>
      <w:r>
        <w:t xml:space="preserve"> </w:t>
      </w:r>
      <w:r>
        <w:t xml:space="preserve">Nd oxide per tonne swarf.</w:t>
      </w:r>
    </w:p>
    <w:p>
      <w:pPr>
        <w:pStyle w:val="Compact"/>
        <w:numPr>
          <w:ilvl w:val="0"/>
          <w:numId w:val="1004"/>
        </w:numPr>
      </w:pPr>
      <w:r>
        <w:t xml:space="preserve">Pr oxide in mixed REO: 320 kg × 9–11% =</w:t>
      </w:r>
      <w:r>
        <w:t xml:space="preserve"> </w:t>
      </w:r>
      <w:r>
        <w:rPr>
          <w:b/>
          <w:bCs/>
        </w:rPr>
        <w:t xml:space="preserve">29–35 kg</w:t>
      </w:r>
      <w:r>
        <w:t xml:space="preserve"> </w:t>
      </w:r>
      <w:r>
        <w:t xml:space="preserve">Pr oxide per tonne swarf.</w:t>
      </w:r>
    </w:p>
    <w:p>
      <w:pPr>
        <w:pStyle w:val="Compact"/>
        <w:numPr>
          <w:ilvl w:val="0"/>
          <w:numId w:val="1004"/>
        </w:numPr>
      </w:pPr>
      <w:r>
        <w:t xml:space="preserve">Dy oxide in mixed REO: 320 kg × 0–18% =</w:t>
      </w:r>
      <w:r>
        <w:t xml:space="preserve"> </w:t>
      </w:r>
      <w:r>
        <w:rPr>
          <w:b/>
          <w:bCs/>
        </w:rPr>
        <w:t xml:space="preserve">0–58 kg</w:t>
      </w:r>
      <w:r>
        <w:t xml:space="preserve"> </w:t>
      </w:r>
      <w:r>
        <w:t xml:space="preserve">Dy oxide per tonne swarf.</w:t>
      </w:r>
    </w:p>
    <w:p>
      <w:pPr>
        <w:pStyle w:val="FirstParagraph"/>
      </w:pPr>
      <w:r>
        <w:t xml:space="preserve">Valuing these oxides using 2024 Argus price points yields a gross-oxide-value envelope (still excluding processing costs):</w:t>
      </w:r>
    </w:p>
    <w:p>
      <w:pPr>
        <w:pStyle w:val="Compact"/>
        <w:numPr>
          <w:ilvl w:val="0"/>
          <w:numId w:val="1005"/>
        </w:numPr>
      </w:pPr>
      <w:r>
        <w:t xml:space="preserve">Nd oxide value: (234–285 kg) × $55.27–56.27/kg ≈</w:t>
      </w:r>
      <w:r>
        <w:t xml:space="preserve"> </w:t>
      </w:r>
      <w:r>
        <w:rPr>
          <w:b/>
          <w:bCs/>
        </w:rPr>
        <w:t xml:space="preserve">$12,900–$16,000 per tonne swarf</w:t>
      </w:r>
      <w:r>
        <w:t xml:space="preserve">.</w:t>
      </w:r>
    </w:p>
    <w:p>
      <w:pPr>
        <w:pStyle w:val="Compact"/>
        <w:numPr>
          <w:ilvl w:val="0"/>
          <w:numId w:val="1005"/>
        </w:numPr>
      </w:pPr>
      <w:r>
        <w:t xml:space="preserve">Pr oxide value: (29–35 kg) × $55.36–56.36/kg ≈</w:t>
      </w:r>
      <w:r>
        <w:t xml:space="preserve"> </w:t>
      </w:r>
      <w:r>
        <w:rPr>
          <w:b/>
          <w:bCs/>
        </w:rPr>
        <w:t xml:space="preserve">$1,606–$1,973 per tonne swarf</w:t>
      </w:r>
      <w:r>
        <w:t xml:space="preserve">.</w:t>
      </w:r>
    </w:p>
    <w:p>
      <w:pPr>
        <w:pStyle w:val="Compact"/>
        <w:numPr>
          <w:ilvl w:val="0"/>
          <w:numId w:val="1005"/>
        </w:numPr>
      </w:pPr>
      <w:r>
        <w:t xml:space="preserve">Dy oxide value: (0–58 kg) × $265–270/kg ≈</w:t>
      </w:r>
      <w:r>
        <w:t xml:space="preserve"> </w:t>
      </w:r>
      <w:r>
        <w:rPr>
          <w:b/>
          <w:bCs/>
        </w:rPr>
        <w:t xml:space="preserve">$0–$15,660 per tonne swarf</w:t>
      </w:r>
      <w:r>
        <w:t xml:space="preserve"> </w:t>
      </w:r>
      <w:r>
        <w:t xml:space="preserve">(Dy-rich case).</w:t>
      </w:r>
    </w:p>
    <w:p>
      <w:pPr>
        <w:pStyle w:val="FirstParagraph"/>
      </w:pPr>
      <w:r>
        <w:t xml:space="preserve">Under this process-yield framing, the</w:t>
      </w:r>
      <w:r>
        <w:t xml:space="preserve"> </w:t>
      </w:r>
      <w:r>
        <w:rPr>
          <w:b/>
          <w:bCs/>
        </w:rPr>
        <w:t xml:space="preserve">Dy fraction</w:t>
      </w:r>
      <w:r>
        <w:t xml:space="preserve"> </w:t>
      </w:r>
      <w:r>
        <w:t xml:space="preserve">dominates the upside, which matches the TEA statement that in a best-case scenario (6% Dy in swarf),</w:t>
      </w:r>
      <w:r>
        <w:t xml:space="preserve"> </w:t>
      </w:r>
      <w:r>
        <w:rPr>
          <w:b/>
          <w:bCs/>
        </w:rPr>
        <w:t xml:space="preserve">dysprosium oxide can represent the largest share of total economic value (52%)</w:t>
      </w:r>
      <w:r>
        <w:t xml:space="preserve">.</w:t>
      </w:r>
    </w:p>
    <w:bookmarkEnd w:id="24"/>
    <w:bookmarkEnd w:id="25"/>
    <w:bookmarkStart w:id="28" w:name="X081a6a6f570c4e087a33389a1febb7282578f24"/>
    <w:p>
      <w:pPr>
        <w:pStyle w:val="Heading2"/>
      </w:pPr>
      <w:r>
        <w:t xml:space="preserve">4. SmCo swarf value model</w:t>
      </w:r>
    </w:p>
    <w:bookmarkStart w:id="26" w:name="Xad8f6fca1e7c517c513e1e5d91f03b03be39222"/>
    <w:p>
      <w:pPr>
        <w:pStyle w:val="Heading3"/>
      </w:pPr>
      <w:r>
        <w:t xml:space="preserve">4.1 Approach</w:t>
      </w:r>
    </w:p>
    <w:p>
      <w:pPr>
        <w:pStyle w:val="FirstParagraph"/>
      </w:pPr>
      <w:r>
        <w:t xml:space="preserve">For SmCo swarf, the dataset contains (i) a reference swarf composition and (ii) at least one Sm recovery-rate datapoint from SmCo5 scrap. The model therefore focuses on</w:t>
      </w:r>
      <w:r>
        <w:t xml:space="preserve"> </w:t>
      </w:r>
      <w:r>
        <w:rPr>
          <w:b/>
          <w:bCs/>
        </w:rPr>
        <w:t xml:space="preserve">cobalt metal value</w:t>
      </w:r>
      <w:r>
        <w:t xml:space="preserve"> </w:t>
      </w:r>
      <w:r>
        <w:t xml:space="preserve">(dominant by mass and price) and a conservative valuation of samarium using a directly cited</w:t>
      </w:r>
      <w:r>
        <w:t xml:space="preserve"> </w:t>
      </w:r>
      <w:r>
        <w:rPr>
          <w:b/>
          <w:bCs/>
        </w:rPr>
        <w:t xml:space="preserve">samarium metal</w:t>
      </w:r>
      <w:r>
        <w:t xml:space="preserve"> </w:t>
      </w:r>
      <w:r>
        <w:t xml:space="preserve">price point to avoid requiring explicit Sm-to-Sm2O3 stoichiometric conversion in the prose model.</w:t>
      </w:r>
    </w:p>
    <w:bookmarkEnd w:id="26"/>
    <w:bookmarkStart w:id="27" w:name="X14a4a03c795a489a65c77885152e9b36d4484c6"/>
    <w:p>
      <w:pPr>
        <w:pStyle w:val="Heading3"/>
      </w:pPr>
      <w:r>
        <w:t xml:space="preserve">4.2 Gross recoverable value per tonne</w:t>
      </w:r>
    </w:p>
    <w:p>
      <w:pPr>
        <w:pStyle w:val="FirstParagraph"/>
      </w:pPr>
      <w:r>
        <w:t xml:space="preserve">Per 1 tonne SmCo swarf (reference): 230 kg Sm metal and 500 kg Co metal are present by mass fraction.</w:t>
      </w:r>
    </w:p>
    <w:p>
      <w:pPr>
        <w:pStyle w:val="BodyText"/>
      </w:pPr>
      <w:r>
        <w:t xml:space="preserve">For</w:t>
      </w:r>
      <w:r>
        <w:t xml:space="preserve"> </w:t>
      </w:r>
      <w:r>
        <w:rPr>
          <w:b/>
          <w:bCs/>
        </w:rPr>
        <w:t xml:space="preserve">samarium</w:t>
      </w:r>
      <w:r>
        <w:t xml:space="preserve">, one SmCo5 scrap study reported obtaining samarium sulfate hydrate (96.5% purity) with a</w:t>
      </w:r>
      <w:r>
        <w:t xml:space="preserve"> </w:t>
      </w:r>
      <w:r>
        <w:rPr>
          <w:b/>
          <w:bCs/>
        </w:rPr>
        <w:t xml:space="preserve">samarium recovery rate of 87.1%</w:t>
      </w:r>
      <w:r>
        <w:t xml:space="preserve">; this is used as an indicative recovery yield for Sm-bearing scrap, recognizing that Sm2Co17 may behave differently in practice.</w:t>
      </w:r>
    </w:p>
    <w:p>
      <w:pPr>
        <w:pStyle w:val="BodyText"/>
      </w:pPr>
      <w:r>
        <w:t xml:space="preserve">For</w:t>
      </w:r>
      <w:r>
        <w:t xml:space="preserve"> </w:t>
      </w:r>
      <w:r>
        <w:rPr>
          <w:b/>
          <w:bCs/>
        </w:rPr>
        <w:t xml:space="preserve">cobalt</w:t>
      </w:r>
      <w:r>
        <w:t xml:space="preserve">, the dataset does not provide a SmCo-specific cobalt recovery yield, so a conservative “high-yield” assumption consistent with published magnet-scrap processing yield ranges is used. One industry/market report describes hydrogen processing of magnet scrap (HPMS) as enabling alloy recovery with</w:t>
      </w:r>
      <w:r>
        <w:t xml:space="preserve"> </w:t>
      </w:r>
      <w:r>
        <w:rPr>
          <w:b/>
          <w:bCs/>
        </w:rPr>
        <w:t xml:space="preserve">90–98% yield</w:t>
      </w:r>
      <w:r>
        <w:t xml:space="preserve">; the lower bound (90%) is applied as a conservative proxy recovery for cobalt-bearing fractions in a high-yield recycling route.</w:t>
      </w:r>
    </w:p>
    <w:p>
      <w:pPr>
        <w:pStyle w:val="BodyText"/>
      </w:pPr>
      <w:r>
        <w:t xml:space="preserve">Applying these yields and 2025 cobalt prices gives:</w:t>
      </w:r>
    </w:p>
    <w:p>
      <w:pPr>
        <w:pStyle w:val="Compact"/>
        <w:numPr>
          <w:ilvl w:val="0"/>
          <w:numId w:val="1006"/>
        </w:numPr>
      </w:pPr>
      <w:r>
        <w:rPr>
          <w:b/>
          <w:bCs/>
        </w:rPr>
        <w:t xml:space="preserve">Sm value (metal-priced)</w:t>
      </w:r>
      <w:r>
        <w:t xml:space="preserve">: 230 kg Sm × 87.1% × $12.25/kg Sm metal ≈</w:t>
      </w:r>
      <w:r>
        <w:t xml:space="preserve"> </w:t>
      </w:r>
      <w:r>
        <w:rPr>
          <w:b/>
          <w:bCs/>
        </w:rPr>
        <w:t xml:space="preserve">$2,456 per tonne swarf</w:t>
      </w:r>
      <w:r>
        <w:t xml:space="preserve">.</w:t>
      </w:r>
    </w:p>
    <w:p>
      <w:pPr>
        <w:pStyle w:val="Compact"/>
        <w:numPr>
          <w:ilvl w:val="0"/>
          <w:numId w:val="1006"/>
        </w:numPr>
      </w:pPr>
      <w:r>
        <w:rPr>
          <w:b/>
          <w:bCs/>
        </w:rPr>
        <w:t xml:space="preserve">Co value (metal-priced)</w:t>
      </w:r>
      <w:r>
        <w:t xml:space="preserve">: 500 kg Co × 90% × $23.63–33.83/kg Co ≈</w:t>
      </w:r>
      <w:r>
        <w:t xml:space="preserve"> </w:t>
      </w:r>
      <w:r>
        <w:rPr>
          <w:b/>
          <w:bCs/>
        </w:rPr>
        <w:t xml:space="preserve">$10,634–$15,224 per tonne swarf</w:t>
      </w:r>
      <w:r>
        <w:t xml:space="preserve"> </w:t>
      </w:r>
      <w:r>
        <w:t xml:space="preserve">(LME avg vs U.S. spot, Jan 2025).</w:t>
      </w:r>
    </w:p>
    <w:p>
      <w:pPr>
        <w:pStyle w:val="FirstParagraph"/>
      </w:pPr>
      <w:r>
        <w:t xml:space="preserve">Under these inputs, the gross recoverable value for SmCo swarf (Sm+Co only, excluding Fe/Cu/Zr credits) is approximately</w:t>
      </w:r>
      <w:r>
        <w:t xml:space="preserve"> </w:t>
      </w:r>
      <w:r>
        <w:rPr>
          <w:b/>
          <w:bCs/>
        </w:rPr>
        <w:t xml:space="preserve">$13,100–$17,700 per tonne</w:t>
      </w:r>
      <w:r>
        <w:t xml:space="preserve"> </w:t>
      </w:r>
      <w:r>
        <w:t xml:space="preserve">depending primarily on cobalt price basis and achieved recovery yields.</w:t>
      </w:r>
    </w:p>
    <w:bookmarkEnd w:id="27"/>
    <w:bookmarkEnd w:id="28"/>
    <w:bookmarkStart w:id="29" w:name="X2f2b1af99b04f942609be6cb14c79d20d895276"/>
    <w:p>
      <w:pPr>
        <w:pStyle w:val="Heading2"/>
      </w:pPr>
      <w:r>
        <w:t xml:space="preserve">5. Processing cost estimates</w:t>
      </w:r>
    </w:p>
    <w:p>
      <w:pPr>
        <w:pStyle w:val="FirstParagraph"/>
      </w:pPr>
      <w:r>
        <w:t xml:space="preserve">Processing cost estimates in the dataset span a wide range because they reflect different system boundaries (swarf-to-oxide, whole-magnet recycling, and different process chemistries). A TEA of an acid-free dissolution route reported total cost of</w:t>
      </w:r>
      <w:r>
        <w:t xml:space="preserve"> </w:t>
      </w:r>
      <w:r>
        <w:rPr>
          <w:b/>
          <w:bCs/>
        </w:rPr>
        <w:t xml:space="preserve">~$11 per kg of swarf processed</w:t>
      </w:r>
      <w:r>
        <w:t xml:space="preserve"> </w:t>
      </w:r>
      <w:r>
        <w:t xml:space="preserve">(and ~$29–$36 per kg of mixed REO produced) at a modeled scale, which implies **~$11,000 per tonne swarf** processed as a central cost benchmark for swarf-focused hydrometallurgical processing.</w:t>
      </w:r>
    </w:p>
    <w:p>
      <w:pPr>
        <w:pStyle w:val="BodyText"/>
      </w:pPr>
      <w:r>
        <w:t xml:space="preserve">A separate industry article gives a much higher, less specific estimate that</w:t>
      </w:r>
      <w:r>
        <w:t xml:space="preserve"> </w:t>
      </w:r>
      <w:r>
        <w:rPr>
          <w:b/>
          <w:bCs/>
        </w:rPr>
        <w:t xml:space="preserve">recycling 1 ton of NdFeB magnets costs ~$50–$70 per kilogram</w:t>
      </w:r>
      <w:r>
        <w:t xml:space="preserve">, which would imply</w:t>
      </w:r>
      <w:r>
        <w:t xml:space="preserve"> </w:t>
      </w:r>
      <w:r>
        <w:rPr>
          <w:b/>
          <w:bCs/>
        </w:rPr>
        <w:t xml:space="preserve">$50,000–$70,000 per tonne</w:t>
      </w:r>
      <w:r>
        <w:t xml:space="preserve">; the same article also reports hydrometallurgy can achieve recovery rates up to ~95% and that pyrometallurgy can yield ~70–85% recovery, illustrating that cost and yield vary materially by route and process design.</w:t>
      </w:r>
    </w:p>
    <w:p>
      <w:pPr>
        <w:pStyle w:val="BodyText"/>
      </w:pPr>
      <w:r>
        <w:t xml:space="preserve">From a wastewater-generation standpoint (relevant for downstream handling cost and treatment requirements), the same article states that hydrometallurgy can produce</w:t>
      </w:r>
      <w:r>
        <w:t xml:space="preserve"> </w:t>
      </w:r>
      <w:r>
        <w:rPr>
          <w:b/>
          <w:bCs/>
        </w:rPr>
        <w:t xml:space="preserve">10–15 tons of wastewater per ton of rare earth recovered</w:t>
      </w:r>
      <w:r>
        <w:t xml:space="preserve">.</w:t>
      </w:r>
    </w:p>
    <w:bookmarkEnd w:id="29"/>
    <w:bookmarkStart w:id="33" w:name="Xec7dad5c3761f88fbeaa0e5683c5552d5cc670e"/>
    <w:p>
      <w:pPr>
        <w:pStyle w:val="Heading2"/>
      </w:pPr>
      <w:r>
        <w:t xml:space="preserve">6. Net recoverable value</w:t>
      </w:r>
    </w:p>
    <w:p>
      <w:pPr>
        <w:pStyle w:val="FirstParagraph"/>
      </w:pPr>
      <w:r>
        <w:t xml:space="preserve">Net value is presented as</w:t>
      </w:r>
      <w:r>
        <w:t xml:space="preserve"> </w:t>
      </w:r>
      <w:r>
        <w:rPr>
          <w:b/>
          <w:bCs/>
        </w:rPr>
        <w:t xml:space="preserve">gross recoverable value minus processing cost</w:t>
      </w:r>
      <w:r>
        <w:t xml:space="preserve">, using the TEA-derived</w:t>
      </w:r>
      <w:r>
        <w:t xml:space="preserve"> </w:t>
      </w:r>
      <w:r>
        <w:rPr>
          <w:b/>
          <w:bCs/>
        </w:rPr>
        <w:t xml:space="preserve">$11,000/tonne swarf</w:t>
      </w:r>
      <w:r>
        <w:t xml:space="preserve"> </w:t>
      </w:r>
      <w:r>
        <w:t xml:space="preserve">processing-cost benchmark as the primary reference case.</w:t>
      </w:r>
    </w:p>
    <w:bookmarkStart w:id="30" w:name="X5056638b2af3cc79f4ac88c20b61d965503bf4d"/>
    <w:p>
      <w:pPr>
        <w:pStyle w:val="Heading3"/>
      </w:pPr>
      <w:r>
        <w:t xml:space="preserve">6.1 NdFeB swarf net value</w:t>
      </w:r>
    </w:p>
    <w:p>
      <w:pPr>
        <w:pStyle w:val="FirstParagraph"/>
      </w:pPr>
      <w:r>
        <w:t xml:space="preserve">Using the element-to-oxide price approach gross value of</w:t>
      </w:r>
      <w:r>
        <w:t xml:space="preserve"> </w:t>
      </w:r>
      <w:r>
        <w:rPr>
          <w:b/>
          <w:bCs/>
        </w:rPr>
        <w:t xml:space="preserve">~$23,800–$24,200 per tonne</w:t>
      </w:r>
      <w:r>
        <w:t xml:space="preserve"> </w:t>
      </w:r>
      <w:r>
        <w:t xml:space="preserve">(reference 3 wt% Dy case), subtracting ~$11,000/tonne processing cost yields a net value of approximately</w:t>
      </w:r>
      <w:r>
        <w:t xml:space="preserve"> </w:t>
      </w:r>
      <w:r>
        <w:rPr>
          <w:b/>
          <w:bCs/>
        </w:rPr>
        <w:t xml:space="preserve">$12,800–$13,200 per tonne swarf</w:t>
      </w:r>
      <w:r>
        <w:t xml:space="preserve"> </w:t>
      </w:r>
      <w:r>
        <w:t xml:space="preserve">in the TEA-like cost regime.</w:t>
      </w:r>
    </w:p>
    <w:p>
      <w:pPr>
        <w:pStyle w:val="BodyText"/>
      </w:pPr>
      <w:r>
        <w:t xml:space="preserve">Under the mixed-REO process-yield envelope, gross oxide value spans widely depending on Dy content (because Dy oxide fraction can range from 0% to 18% of the mixed REO output). This implies net value can range from strongly positive to marginal depending on whether the feedstock is Dy-lean or Dy-rich, consistent with TEA statements that Dy content materially shifts the economic value distribution and can dominate value in best-case scenarios.</w:t>
      </w:r>
    </w:p>
    <w:bookmarkEnd w:id="30"/>
    <w:bookmarkStart w:id="31" w:name="X665cafbe32e0da15a648659f1c74881a4d1b0bb"/>
    <w:p>
      <w:pPr>
        <w:pStyle w:val="Heading3"/>
      </w:pPr>
      <w:r>
        <w:t xml:space="preserve">6.2 SmCo swarf net value</w:t>
      </w:r>
    </w:p>
    <w:p>
      <w:pPr>
        <w:pStyle w:val="FirstParagraph"/>
      </w:pPr>
      <w:r>
        <w:t xml:space="preserve">For SmCo swarf, using the gross Sm+Co value range of</w:t>
      </w:r>
      <w:r>
        <w:t xml:space="preserve"> </w:t>
      </w:r>
      <w:r>
        <w:rPr>
          <w:b/>
          <w:bCs/>
        </w:rPr>
        <w:t xml:space="preserve">~$13,100–$17,700 per tonne</w:t>
      </w:r>
      <w:r>
        <w:t xml:space="preserve"> </w:t>
      </w:r>
      <w:r>
        <w:t xml:space="preserve">and applying the same $11,000/tonne swarf processing-cost benchmark as a proxy yields an indicative net of approximately</w:t>
      </w:r>
      <w:r>
        <w:t xml:space="preserve"> </w:t>
      </w:r>
      <w:r>
        <w:rPr>
          <w:b/>
          <w:bCs/>
        </w:rPr>
        <w:t xml:space="preserve">$2,100–$6,700 per tonne</w:t>
      </w:r>
      <w:r>
        <w:t xml:space="preserve"> </w:t>
      </w:r>
      <w:r>
        <w:t xml:space="preserve">(highly sensitive to cobalt price basis and achieved recovery).</w:t>
      </w:r>
    </w:p>
    <w:bookmarkEnd w:id="31"/>
    <w:bookmarkStart w:id="32" w:name="Xa1ed72b18d90122b6df049b5afe4065061051e8"/>
    <w:p>
      <w:pPr>
        <w:pStyle w:val="Heading3"/>
      </w:pPr>
      <w:r>
        <w:t xml:space="preserve">6.3 Comparison to primary ore concentration</w:t>
      </w:r>
    </w:p>
    <w:p>
      <w:pPr>
        <w:pStyle w:val="FirstParagraph"/>
      </w:pPr>
      <w:r>
        <w:t xml:space="preserve">Recycling economics are frequently framed around the much higher “grade” of secondary feedstocks compared with primary ores. One article states that mining one tonne of rare earth ore typically yields only</w:t>
      </w:r>
      <w:r>
        <w:t xml:space="preserve"> </w:t>
      </w:r>
      <w:r>
        <w:rPr>
          <w:b/>
          <w:bCs/>
        </w:rPr>
        <w:t xml:space="preserve">3–5 kilograms of usable material</w:t>
      </w:r>
      <w:r>
        <w:t xml:space="preserve">, highlighting why high-grade scrap can be attractive even when processing costs are substantial.</w:t>
      </w:r>
    </w:p>
    <w:p>
      <w:pPr>
        <w:pStyle w:val="BodyText"/>
      </w:pPr>
      <w:r>
        <w:t xml:space="preserve">In contrast, rare-earth magnet scrap streams can contain on the order of tens of percent rare earth content, such as the reference NdFeB swarf composition above with substantial Nd/Pr/Dy fractions by mass, and multiple sources report NdFeB magnets can contain “up to ~30%” critical rare earth elements in the magnet alloy.</w:t>
      </w:r>
    </w:p>
    <w:bookmarkEnd w:id="32"/>
    <w:bookmarkEnd w:id="33"/>
    <w:bookmarkStart w:id="34" w:name="X1f083cb53e619dfc24518d499a4d4c343a519d4"/>
    <w:p>
      <w:pPr>
        <w:pStyle w:val="Heading2"/>
      </w:pPr>
      <w:r>
        <w:t xml:space="preserve">7. Volume context</w:t>
      </w:r>
    </w:p>
    <w:p>
      <w:pPr>
        <w:pStyle w:val="FirstParagraph"/>
      </w:pPr>
      <w:r>
        <w:t xml:space="preserve">The potential annual swarf feedstock volume depends on magnet production volumes and the fraction lost as machining and process scrap. One industry-facing source states that</w:t>
      </w:r>
      <w:r>
        <w:t xml:space="preserve"> </w:t>
      </w:r>
      <w:r>
        <w:rPr>
          <w:b/>
          <w:bCs/>
        </w:rPr>
        <w:t xml:space="preserve">Nd-Fe-B magnet production generates 20–30% scrap</w:t>
      </w:r>
      <w:r>
        <w:t xml:space="preserve">, while</w:t>
      </w:r>
      <w:r>
        <w:t xml:space="preserve"> </w:t>
      </w:r>
      <w:r>
        <w:rPr>
          <w:b/>
          <w:bCs/>
        </w:rPr>
        <w:t xml:space="preserve">Sm-Co production generates 15–30% waste</w:t>
      </w:r>
      <w:r>
        <w:t xml:space="preserve"> </w:t>
      </w:r>
      <w:r>
        <w:t xml:space="preserve">as sludge and scrap, implying a structurally significant secondary stream relative to finished magnet output.</w:t>
      </w:r>
    </w:p>
    <w:p>
      <w:pPr>
        <w:pStyle w:val="BodyText"/>
      </w:pPr>
      <w:r>
        <w:t xml:space="preserve">A TEA-scale analysis estimated</w:t>
      </w:r>
      <w:r>
        <w:t xml:space="preserve"> </w:t>
      </w:r>
      <w:r>
        <w:rPr>
          <w:b/>
          <w:bCs/>
        </w:rPr>
        <w:t xml:space="preserve">130,000–150,000 metric tons of NdFeB magnets</w:t>
      </w:r>
      <w:r>
        <w:t xml:space="preserve"> </w:t>
      </w:r>
      <w:r>
        <w:t xml:space="preserve">are produced per year globally. Applying the 20–30% production scrap fraction as an indicative range suggests that the global NdFeB manufacturing system could generate on the order of</w:t>
      </w:r>
      <w:r>
        <w:t xml:space="preserve"> </w:t>
      </w:r>
      <w:r>
        <w:rPr>
          <w:b/>
          <w:bCs/>
        </w:rPr>
        <w:t xml:space="preserve">tens of thousands of tonnes</w:t>
      </w:r>
      <w:r>
        <w:t xml:space="preserve"> </w:t>
      </w:r>
      <w:r>
        <w:t xml:space="preserve">of scrap/swarf annually (with exact mass depending on whether the scrap fraction is referenced to input alloy or output magnets).</w:t>
      </w:r>
    </w:p>
    <w:bookmarkEnd w:id="34"/>
    <w:bookmarkStart w:id="35" w:name="X6f51f565ff56ff3ffdc832565002b3304012daa"/>
    <w:p>
      <w:pPr>
        <w:pStyle w:val="Heading2"/>
      </w:pPr>
      <w:r>
        <w:t xml:space="preserve">8. Strategic value premium</w:t>
      </w:r>
    </w:p>
    <w:p>
      <w:pPr>
        <w:pStyle w:val="FirstParagraph"/>
      </w:pPr>
      <w:r>
        <w:t xml:space="preserve">Beyond commodity value, defense-relevant magnet scrap can carry an additional “strategic” premium when it supports domestic, traceable supply chains and reduces dependence on concentrated upstream refining. One market source states that</w:t>
      </w:r>
      <w:r>
        <w:t xml:space="preserve"> </w:t>
      </w:r>
      <w:r>
        <w:rPr>
          <w:b/>
          <w:bCs/>
        </w:rPr>
        <w:t xml:space="preserve">China controls ~70% of global rare earth oxide refining capacity</w:t>
      </w:r>
      <w:r>
        <w:t xml:space="preserve">, which increases geopolitical and supply-chain risk premiums for non-Chinese supply pathways, including recycling.</w:t>
      </w:r>
    </w:p>
    <w:p>
      <w:pPr>
        <w:pStyle w:val="BodyText"/>
      </w:pPr>
      <w:r>
        <w:t xml:space="preserve">Downstream demand-side premiums for recycled-content magnets can also elevate realized value. A market report notes that OEMs may pay</w:t>
      </w:r>
      <w:r>
        <w:t xml:space="preserve"> </w:t>
      </w:r>
      <w:r>
        <w:rPr>
          <w:b/>
          <w:bCs/>
        </w:rPr>
        <w:t xml:space="preserve">10–20% premiums for magnets verified as recycled content</w:t>
      </w:r>
      <w:r>
        <w:t xml:space="preserve">, creating a potential margin uplift for compliant recyclers relative to commodity-only valuation approaches.</w:t>
      </w:r>
    </w:p>
    <w:p>
      <w:pPr>
        <w:pStyle w:val="BodyText"/>
      </w:pPr>
      <w:r>
        <w:t xml:space="preserve">Policy-linked price support mechanisms can further raise the effective value of domestically produced rare-earth material streams. One recycling-focused article claims the U.S. Department of Defense has</w:t>
      </w:r>
      <w:r>
        <w:t xml:space="preserve"> </w:t>
      </w:r>
      <w:r>
        <w:rPr>
          <w:b/>
          <w:bCs/>
        </w:rPr>
        <w:t xml:space="preserve">guaranteed minimum prices of $110/kg</w:t>
      </w:r>
      <w:r>
        <w:t xml:space="preserve"> </w:t>
      </w:r>
      <w:r>
        <w:t xml:space="preserve">to incentivize domestic production, indicating that certain strategic programs may value domestic supply above spot-market economics for some periods and materials.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