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80f696e41281b91a38a3080f8ce98670dcf8bc"/>
    <w:p>
      <w:pPr>
        <w:pStyle w:val="Heading1"/>
      </w:pPr>
      <w:r>
        <w:t xml:space="preserve">TAM/SAM/SOM: Defense Magnet Machining Wastewater Treatment Market</w:t>
      </w:r>
    </w:p>
    <w:bookmarkStart w:id="20" w:name="executive-summary"/>
    <w:p>
      <w:pPr>
        <w:pStyle w:val="Heading2"/>
      </w:pPr>
      <w:r>
        <w:t xml:space="preserve">Executive summary</w:t>
      </w:r>
    </w:p>
    <w:p>
      <w:pPr>
        <w:pStyle w:val="FirstParagraph"/>
      </w:pPr>
      <w:r>
        <w:t xml:space="preserve">The addressable market for wastewater treatment and metal recovery in defense-grade rare-earth magnet machining is best treated as a</w:t>
      </w:r>
      <w:r>
        <w:t xml:space="preserve"> </w:t>
      </w:r>
      <w:r>
        <w:rPr>
          <w:i/>
          <w:iCs/>
        </w:rPr>
        <w:t xml:space="preserve">subset</w:t>
      </w:r>
      <w:r>
        <w:t xml:space="preserve"> </w:t>
      </w:r>
      <w:r>
        <w:t xml:space="preserve">of the broader industrial wastewater treatment and on-site treatment markets, because public sources rarely quantify magnet-machining wastewater volumes directly and frequently state that additional analysis is required for military-specific consumption and waste details.</w:t>
      </w:r>
    </w:p>
    <w:p>
      <w:pPr>
        <w:pStyle w:val="BodyText"/>
      </w:pPr>
      <w:r>
        <w:t xml:space="preserve">On the “demand pull” side, rare-earth permanent magnets are described as the widest use of rare earth elements (REEs) and are critical to defense systems (e.g., precision-guided munitions). On the “waste supply” side, multiple sources emphasize that swarf is generated when sintered blocks are shaped to customer specifications and that machining is the largest source of material losses, with cutting and grinding scrap rates reported as high as 30–40% for brittle sintered blocks in some contexts.</w:t>
      </w:r>
    </w:p>
    <w:p>
      <w:pPr>
        <w:pStyle w:val="BodyText"/>
      </w:pPr>
      <w:r>
        <w:t xml:space="preserve">Because defense programs represent a small share of total magnet demand and because DOD purchases are described as less than 0.1% of global demand, the standalone defense-only wastewater treatment market is structurally niche, but concentrated into a small set of high-value machining and finishing operations that are currently being expanded or onshored via DOD investments (&gt;$439M since 2020).</w:t>
      </w:r>
    </w:p>
    <w:bookmarkEnd w:id="20"/>
    <w:bookmarkStart w:id="21" w:name="tam"/>
    <w:p>
      <w:pPr>
        <w:pStyle w:val="Heading2"/>
      </w:pPr>
      <w:r>
        <w:t xml:space="preserve">TAM</w:t>
      </w:r>
    </w:p>
    <w:p>
      <w:pPr>
        <w:pStyle w:val="FirstParagraph"/>
      </w:pPr>
      <w:r>
        <w:t xml:space="preserve">A practical top-down TAM framing starts from the industrial/on-site wastewater treatment markets, which provide an upper bound on spend for equipment and systems that could plausibly include magnet-machining wastewater treatment modules. The industrial wastewater treatment equipment market is valued at USD 12.23B in 2025 and is projected to reach USD 18.70B by 2030 (8.86% CAGR). In parallel, the global on-site wastewater treatment systems market is cited at USD 23.4B in 2025, forecast to USD 59.4B by 2034 (10.9% CAGR).</w:t>
      </w:r>
    </w:p>
    <w:p>
      <w:pPr>
        <w:pStyle w:val="BodyText"/>
      </w:pPr>
      <w:r>
        <w:t xml:space="preserve">A second, magnet-specific TAM lens anchors the scale of magnet production and machining waste that could generate metal-bearing coolants, rinse waters, and sludge. Global rare-earth magnet market value is repeatedly cited around USD 19.5B in 2024 in multiple industry summaries, while one industry report states global rare earth magnet demand “approaches 385,000 tonnes annually in 2025,” valued at approximately USD 19B (CAGR 7.8%).</w:t>
      </w:r>
    </w:p>
    <w:p>
      <w:pPr>
        <w:pStyle w:val="BodyText"/>
      </w:pPr>
      <w:r>
        <w:t xml:space="preserve">However, global volume estimates vary by source and definition. For example, one recycling/economics paper estimates global NdFeB production at 130,000–150,000 metric tons/year, while other commentary reports China alone producing ~300,000 tonnes of NdFeB magnets in 2024. The key implication for wastewater opportunity is not a single definitive tonnage, but the consistent conclusion that NdFeB dominates rare-earth magnet demand and that downstream machining is a major loss point that produces swarf and related waste streams that are candidates for on-site treatment and recovery.</w:t>
      </w:r>
    </w:p>
    <w:p>
      <w:pPr>
        <w:pStyle w:val="BodyText"/>
      </w:pPr>
      <w:r>
        <w:t xml:space="preserve">In public DOE work, the swarf recycling stream in 2020 is estimated as ~9% of NdFeB magnets produced globally, and the same report notes that the largest material losses occur in the machining step (depending on final size/shape). In a separate market report context, cutting and grinding scrap rates for sintered blocks are cited as high as 30–40%, which provides a plausible “high-loss” bound for machining-driven waste generation where tight tolerances, small parts, and fragile geometries dominate.</w:t>
      </w:r>
    </w:p>
    <w:bookmarkEnd w:id="21"/>
    <w:bookmarkStart w:id="22" w:name="sam"/>
    <w:p>
      <w:pPr>
        <w:pStyle w:val="Heading2"/>
      </w:pPr>
      <w:r>
        <w:t xml:space="preserve">SAM</w:t>
      </w:r>
    </w:p>
    <w:p>
      <w:pPr>
        <w:pStyle w:val="FirstParagraph"/>
      </w:pPr>
      <w:r>
        <w:t xml:space="preserve">The SAM here is defined as magnet-machining wastewater treatment opportunities in U.S. and allied defense supply chains (U.S./EU/Japan) that are producing or finishing high-reliability SmCo and NdFeB magnets for defense platforms. Public sources emphasize that defense demand is small relative to global demand, including the explicit statement that DOD purchases represent less than 0.1% of global demand for these materials, which limits purely defense-driven volume but does not eliminate the need for dedicated, compliant, traceable manufacturing and waste handling.</w:t>
      </w:r>
    </w:p>
    <w:p>
      <w:pPr>
        <w:pStyle w:val="BodyText"/>
      </w:pPr>
      <w:r>
        <w:t xml:space="preserve">Despite the small global share, U.S. defense magnet requirements are described in the thousands of tons per year in multiple sources, providing an order-of-magnitude anchor for potential machining throughput. One source states that “the US military requires about 3,000 tons of permanent magnets a year,” and another states the Pentagon requires 3,000–4,000 tons of highly specialized magnets annually with projected demand up to 10,000 tons by 2030.</w:t>
      </w:r>
    </w:p>
    <w:p>
      <w:pPr>
        <w:pStyle w:val="BodyText"/>
      </w:pPr>
      <w:r>
        <w:t xml:space="preserve">In parallel, the U.S. and allied SAM is shaped by “mine-to-magnet” investments aimed at onshoring production and qualifying non-China supply chains. DOD reports that since 2020 it has awarded more than USD 439M to establish domestic rare earth element supply chains and that these awards are intended to develop the domestic market for magnet production to serve defense and commercial markets.</w:t>
      </w:r>
    </w:p>
    <w:bookmarkEnd w:id="22"/>
    <w:bookmarkStart w:id="23" w:name="som"/>
    <w:p>
      <w:pPr>
        <w:pStyle w:val="Heading2"/>
      </w:pPr>
      <w:r>
        <w:t xml:space="preserve">SOM</w:t>
      </w:r>
    </w:p>
    <w:p>
      <w:pPr>
        <w:pStyle w:val="FirstParagraph"/>
      </w:pPr>
      <w:r>
        <w:t xml:space="preserve">The SOM is defined as the realistically serviceable market reachable by deploying at a small number of U.S. defense-relevant magnet production and finishing sites (3–5 facilities) over a five-year period, consistent with the near-term concentration of domestic capacity expansion into a limited set of named projects and established specialty suppliers.</w:t>
      </w:r>
    </w:p>
    <w:p>
      <w:pPr>
        <w:pStyle w:val="BodyText"/>
      </w:pPr>
      <w:r>
        <w:t xml:space="preserve">Public sources identify a short list of U.S.-based facilities or facility-scale initiatives that plausibly concentrate swarf generation and coolant-handling needs:</w:t>
      </w:r>
    </w:p>
    <w:p>
      <w:pPr>
        <w:pStyle w:val="Compact"/>
        <w:numPr>
          <w:ilvl w:val="0"/>
          <w:numId w:val="1001"/>
        </w:numPr>
      </w:pPr>
      <w:r>
        <w:t xml:space="preserve">Noveon Magnetics is stated to have established a rare earth magnet manufacturing facility in San Marcos, Texas (supported by a $28.8M award).</w:t>
      </w:r>
    </w:p>
    <w:p>
      <w:pPr>
        <w:pStyle w:val="Compact"/>
        <w:numPr>
          <w:ilvl w:val="0"/>
          <w:numId w:val="1001"/>
        </w:numPr>
      </w:pPr>
      <w:r>
        <w:t xml:space="preserve">MP Materials is described as commissioning a magnetics facility in Texas (“Independence”) that is poised to produce ~1,000 metric tons of finished NdFeB magnets per year, with a production ramp beginning in late 2025, and MP Materials also projects its total U.S. magnet manufacturing capacity reaching ~10,000 metric tons after a new facility begins commissioning in 2028.</w:t>
      </w:r>
    </w:p>
    <w:p>
      <w:pPr>
        <w:pStyle w:val="Compact"/>
        <w:numPr>
          <w:ilvl w:val="0"/>
          <w:numId w:val="1001"/>
        </w:numPr>
      </w:pPr>
      <w:r>
        <w:t xml:space="preserve">E‑VAC Magnetics is described as establishing a commercial-scale rare earth magnet manufacturing capability by 2025 with a $94.1M award, and this effort is repeatedly associated with Sumter, South Carolina in trade reporting, suggesting a key future locus of U.S. magnet production and associated machining waste streams.</w:t>
      </w:r>
    </w:p>
    <w:p>
      <w:pPr>
        <w:pStyle w:val="FirstParagraph"/>
      </w:pPr>
      <w:r>
        <w:t xml:space="preserve">Additional defense-relevant machining capacity may sit within established specialty magnet suppliers and integrators. For example, Arnold Magnetic Technologies is described as headquartered in Rochester, New York with manufacturing facilities in multiple countries including U.S. sites, and Electron Energy Corporation (EEC) is described as operating from two facilities in Landisville totaling over 84,800 square feet, both of which are plausible locations for magnet machining and associated coolant/wastewater handling (even if public excerpts do not quantify their wastewater volumes).</w:t>
      </w:r>
    </w:p>
    <w:bookmarkEnd w:id="23"/>
    <w:bookmarkStart w:id="24" w:name="per-platform-consumption"/>
    <w:p>
      <w:pPr>
        <w:pStyle w:val="Heading2"/>
      </w:pPr>
      <w:r>
        <w:t xml:space="preserve">Per-platform consumption</w:t>
      </w:r>
    </w:p>
    <w:p>
      <w:pPr>
        <w:pStyle w:val="FirstParagraph"/>
      </w:pPr>
      <w:r>
        <w:t xml:space="preserve">Per-platform metrics are useful for explaining why defense magnets are strategically important even if they are a small fraction of total global demand. Multiple U.S. government and policy/industry sources repeat platform-level rare-earth content examples: an F‑35 requires more than ~900 pounds of rare earth elements, an Arleigh Burke DDG‑51 destroyer requires ~5,200 pounds, and a Virginia-class submarine requires ~9,200 pounds.</w:t>
      </w:r>
    </w:p>
    <w:p>
      <w:pPr>
        <w:pStyle w:val="BodyText"/>
      </w:pPr>
      <w:r>
        <w:t xml:space="preserve">Some sources add a more magnet-specific anchor by stating that an F‑35 contains about 50 pounds of samarium-cobalt magnets, which is relevant because SmCo machining waste streams may have different chemistry and value drivers than NdFeB (e.g., cobalt-bearing waste).</w:t>
      </w:r>
    </w:p>
    <w:p>
      <w:pPr>
        <w:pStyle w:val="BodyText"/>
      </w:pPr>
      <w:r>
        <w:t xml:space="preserve">These per-platform numbers are not a direct proxy for magnet-machining wastewater volume, but they are a defensible proxy for the strategic importance of ensuring domestic, traceable production and of managing and recovering critical-material-bearing wastes within secure, compliant supply chains.</w:t>
      </w:r>
    </w:p>
    <w:bookmarkEnd w:id="24"/>
    <w:bookmarkStart w:id="25" w:name="us-defense-facility-map"/>
    <w:p>
      <w:pPr>
        <w:pStyle w:val="Heading2"/>
      </w:pPr>
      <w:r>
        <w:t xml:space="preserve">US defense facility map</w:t>
      </w:r>
    </w:p>
    <w:p>
      <w:pPr>
        <w:pStyle w:val="FirstParagraph"/>
      </w:pPr>
      <w:r>
        <w:t xml:space="preserve">A facility map for the U.S. defense-relevant rare-earth magnet and upstream processing ecosystem can be described as a small number of current producers, plus a larger number of near-term capacity additions supported by DOD funding. As of a 2023 Federal Register summary, there was “currently only one firm in the United States, Noveon (formerly Urban Mining Company), that produces sintered NdFeB magnets, albeit in small quantities,” and multiple additional firms (MP Materials, Quadrant Magnetics, USA Rare Earth, and Vacuumschmelze) planned to establish U.S. NdFeB magnet manufacturing facilities by 2026.</w:t>
      </w:r>
    </w:p>
    <w:p>
      <w:pPr>
        <w:pStyle w:val="BodyText"/>
      </w:pPr>
      <w:r>
        <w:t xml:space="preserve">In DOD’s public “mine-to-magnet” disclosures, the department highlights U.S.-based participants and funded efforts including MP Materials, Lynas USA (oxide production capability by 2026), Noveon Magnetics (San Marcos, TX), TDA Magnetics (capability demonstration), and E‑VAC Magnetics (commercial-scale magnet manufacturing by 2025).</w:t>
      </w:r>
    </w:p>
    <w:p>
      <w:pPr>
        <w:pStyle w:val="BodyText"/>
      </w:pPr>
      <w:r>
        <w:t xml:space="preserve">Separately, upstream mining/separation constraints shape where compliant magnet-making and recycling can locate. GAO cites USGS estimates that China mined ~240,000 metric tons of rare earths in 2023 versus ~43,000 metric tons for the U.S., and also notes that the U.S. imported more than 95% of the rare earths it consumed, reinforcing the rationale for domestic processing and for recovering metals from domestic waste streams where possible.</w:t>
      </w:r>
    </w:p>
    <w:bookmarkEnd w:id="25"/>
    <w:bookmarkStart w:id="26" w:name="growth-drivers"/>
    <w:p>
      <w:pPr>
        <w:pStyle w:val="Heading2"/>
      </w:pPr>
      <w:r>
        <w:t xml:space="preserve">Growth drivers</w:t>
      </w:r>
    </w:p>
    <w:p>
      <w:pPr>
        <w:pStyle w:val="FirstParagraph"/>
      </w:pPr>
      <w:r>
        <w:t xml:space="preserve">The strongest macro drivers of rare-earth magnet demand (and therefore machining throughput and waste generation) are consistently identified as electrification and renewables. DOE reports that EV sales increased from 716,000 vehicles in 2015 to 10.6 million in 2022, and offshore wind annual installations grew from 6.2 GW in 2019 to 21.1 GW in 2021, both of which are magnet-intensive technology transitions that support growth in magnet production, finishing, and recycling industries.</w:t>
      </w:r>
    </w:p>
    <w:p>
      <w:pPr>
        <w:pStyle w:val="BodyText"/>
      </w:pPr>
      <w:r>
        <w:t xml:space="preserve">On the magnet-market side, DOE’s NdFeB supply-chain report projects rapid total global demand growth for magnets in net-zero scenarios (12.5% average annual growth through 2030 and 6.3% through 2050) and also projects U.S. demand growth (8.7% average annual growth through 2030 and 5.0% through 2050).</w:t>
      </w:r>
    </w:p>
    <w:p>
      <w:pPr>
        <w:pStyle w:val="BodyText"/>
      </w:pPr>
      <w:r>
        <w:t xml:space="preserve">Defense is repeatedly treated as a smaller-but-sticky segment: the Federal Register notes defense demand is only a small percentage of total demand while still stating that NdFeB magnets are required for national defense systems, and other market commentary lists “defense and aerospace” among demand drivers alongside electrification, renewables, and automation.</w:t>
      </w:r>
    </w:p>
    <w:p>
      <w:pPr>
        <w:pStyle w:val="BodyText"/>
      </w:pPr>
      <w:r>
        <w:t xml:space="preserve">Finally, policy and supply-chain security are explicit growth drivers for domestic magnet production and, indirectly, for domestic waste management and wastewater treatment tied to magnet machining. DOD frames its investments as building capability across multiple stages of the rare earth supply chain and as sending a “clear signal to private capital” to build resiliency, and multiple public summaries emphasize the strategic goal of a mine-to-magnet supply chain capable of supporting U.S. defense requirements by 2027.</w:t>
      </w:r>
    </w:p>
    <w:bookmarkEnd w:id="26"/>
    <w:bookmarkStart w:id="27" w:name="revenue-scenarios"/>
    <w:p>
      <w:pPr>
        <w:pStyle w:val="Heading2"/>
      </w:pPr>
      <w:r>
        <w:t xml:space="preserve">Revenue scenarios</w:t>
      </w:r>
    </w:p>
    <w:p>
      <w:pPr>
        <w:pStyle w:val="FirstParagraph"/>
      </w:pPr>
      <w:r>
        <w:t xml:space="preserve">Publicly available sources do not provide a direct, defensible dollar figure for “defense magnet machining wastewater treatment” as a standalone market, and several sources explicitly indicate that additional analysis is necessary for military-specific consumption or for machining waste quantification at the level needed to monetize wastewater solutions.</w:t>
      </w:r>
    </w:p>
    <w:p>
      <w:pPr>
        <w:pStyle w:val="BodyText"/>
      </w:pPr>
      <w:r>
        <w:t xml:space="preserve">Therefore, the most supportable way to present conservative/base/aggressive revenue scenarios is as</w:t>
      </w:r>
      <w:r>
        <w:t xml:space="preserve"> </w:t>
      </w:r>
      <w:r>
        <w:rPr>
          <w:i/>
          <w:iCs/>
        </w:rPr>
        <w:t xml:space="preserve">deployment pathways</w:t>
      </w:r>
      <w:r>
        <w:t xml:space="preserve"> </w:t>
      </w:r>
      <w:r>
        <w:t xml:space="preserve">rather than as single-number forecasts. These scenarios are grounded in (i) a small number of identifiable near-term U.S. magnet production and finishing sites, (ii) evidence that machining generates swarf and can have high scrap rates, and (iii) strong growth in broader industrial wastewater and on-site treatment markets.</w:t>
      </w:r>
    </w:p>
    <w:p>
      <w:pPr>
        <w:pStyle w:val="BodyText"/>
      </w:pPr>
      <w:r>
        <w:t xml:space="preserve">Conservative scenario: focus on one or two early-adopter sites in the U.S. mine-to-magnet ecosystem (e.g., a magnet manufacturer or finisher associated with DOD awards) where swarf generation from shaping blocks to specification is known to occur and where machining losses are described as a dominant source of material loss.</w:t>
      </w:r>
    </w:p>
    <w:p>
      <w:pPr>
        <w:pStyle w:val="BodyText"/>
      </w:pPr>
      <w:r>
        <w:t xml:space="preserve">Base scenario: expand to multiple U.S. facilities (3–5) as domestic capacity ramps, including sites that have explicit magnet production scale targets (e.g., ~1,000 t/yr NdFeB at MP Materials’ Independence facility) and sites funded to establish commercial-scale magnet manufacturing capability (e.g., E‑VAC Magnetics).</w:t>
      </w:r>
    </w:p>
    <w:p>
      <w:pPr>
        <w:pStyle w:val="BodyText"/>
      </w:pPr>
      <w:r>
        <w:t xml:space="preserve">Aggressive scenario: scale alongside the projected expansion of U.S. rare-earth magnet manufacturing capacity (e.g., MP Materials’ projected ~10,000 metric tons capacity after commissioning of a new facility in 2028) and integrate wastewater treatment with resource recovery and recycling approaches, aligned with broader trends that resource-recovery and reuse solutions are advancing in the wastewater equipment market.</w:t>
      </w:r>
    </w:p>
    <w:bookmarkEnd w:id="27"/>
    <w:bookmarkStart w:id="28" w:name="adjacent-markets"/>
    <w:p>
      <w:pPr>
        <w:pStyle w:val="Heading2"/>
      </w:pPr>
      <w:r>
        <w:t xml:space="preserve">Adjacent markets</w:t>
      </w:r>
    </w:p>
    <w:p>
      <w:pPr>
        <w:pStyle w:val="FirstParagraph"/>
      </w:pPr>
      <w:r>
        <w:t xml:space="preserve">Even if defense demand is structurally small relative to global totals, adjacent commercial markets that share similar machining and coolant/wastewater challenges (and that may share suppliers, machine shops, and recyclers) are large and fast-growing. These include EV traction motors and wind turbines, both of which are repeatedly cited as major drivers of NdFeB demand and large magnet consumers per platform.</w:t>
      </w:r>
    </w:p>
    <w:p>
      <w:pPr>
        <w:pStyle w:val="BodyText"/>
      </w:pPr>
      <w:r>
        <w:t xml:space="preserve">For example, DOE reports that each electric vehicle motor typically requires 1–2 kg of permanent magnet material, and wind turbine permanent magnet mass is cited as 2.7–3.2 tonnes per MW of wind turbine capacity, which implies substantial machining throughput in the broader economy as these deployments scale.</w:t>
      </w:r>
    </w:p>
    <w:p>
      <w:pPr>
        <w:pStyle w:val="BodyText"/>
      </w:pPr>
      <w:r>
        <w:t xml:space="preserve">These adjacent markets matter for wastewater treatment TAM because they (a) grow the installed base of magnet machining capacity and (b) strengthen the economic case for modular, on-site treatment systems, a category that is described as growing and increasingly important in industrial contexts, including the defense manufacturing segment.</w:t>
      </w:r>
    </w:p>
    <w:bookmarkEnd w:id="28"/>
    <w:bookmarkStart w:id="29" w:name="assumptions"/>
    <w:p>
      <w:pPr>
        <w:pStyle w:val="Heading2"/>
      </w:pPr>
      <w:r>
        <w:t xml:space="preserve">Assumptions</w:t>
      </w:r>
    </w:p>
    <w:p>
      <w:pPr>
        <w:pStyle w:val="FirstParagraph"/>
      </w:pPr>
      <w:r>
        <w:t xml:space="preserve">This market sizing synthesis relies on several explicit assumptions and constraints imposed by the public-source evidence base. First, public sources frequently quantify platform-level rare earth usage but do not provide platform-level magnet masses for most systems, and at least one DOD-adjacent summary explicitly notes that further detailed data may be required for quantities of rare earth magnets per platform.</w:t>
      </w:r>
    </w:p>
    <w:p>
      <w:pPr>
        <w:pStyle w:val="BodyText"/>
      </w:pPr>
      <w:r>
        <w:t xml:space="preserve">Second, the literature and policy documents clearly identify swarf generation during shaping and emphasize that machining is a major loss point, but several public-facing supply-chain reports do not provide a single, definitive machining waste fraction for magnet manufacturing, requiring use of ranges from other sources (e.g., scrap rates up to 30–40% in cutting/grinding, swarf streams estimated at 9% of global NdFeB production, and research reporting swarf generation ranging from 6% to 73% depending on magnet shape).</w:t>
      </w:r>
    </w:p>
    <w:p>
      <w:pPr>
        <w:pStyle w:val="BodyText"/>
      </w:pPr>
      <w:r>
        <w:t xml:space="preserve">Third, defense share of the overall permanent magnet market is generally described qualitatively as small, and the most concrete public quantification is the statement that DOD purchases represent less than 0.1% of global demand, which constrains how much of the broader wastewater treatment TAM can be credibly attributed to defense magnets alone without site-level procurement and wastewater-flow data.</w:t>
      </w:r>
    </w:p>
    <w:p>
      <w:pPr>
        <w:pStyle w:val="BodyText"/>
      </w:pPr>
      <w:r>
        <w:t xml:space="preserve">Finally, while multiple wastewater market reports provide market sizes and growth rates for industrial wastewater treatment and on-site systems, they do not break out magnet machining as a distinct end-use. As a result, any attempt to translate these top-down market sizes into a magnet-machining-specific dollar TAM requires additional bottom-up facility-level data collection (e.g., coolant volumes, discharge limits, hauling costs, and existing treatment configurations), which is not present in the provided public excerpts.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