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f5cc2d8322a7a87ab9b0f4dc71a34e02ad1c37"/>
    <w:p>
      <w:pPr>
        <w:pStyle w:val="Heading1"/>
      </w:pPr>
      <w:r>
        <w:t xml:space="preserve">Wastewater Treatment Chemistry for Rare-Earth-Contaminated Machining Coolant Streams</w:t>
      </w:r>
    </w:p>
    <w:bookmarkStart w:id="20" w:name="summary"/>
    <w:p>
      <w:pPr>
        <w:pStyle w:val="Heading2"/>
      </w:pPr>
      <w:r>
        <w:t xml:space="preserve">Summary</w:t>
      </w:r>
    </w:p>
    <w:p>
      <w:pPr>
        <w:pStyle w:val="FirstParagraph"/>
      </w:pPr>
      <w:r>
        <w:t xml:space="preserve">Rare-earth-element-bearing wastewaters are commonly treated with a combination of physicochemical separation, pH-driven precipitation, and (where needed) membrane and sorption polishing to reduce toxicity and enable reuse or compliant discharge. Treatment performance is highly sensitive to solution chemistry, especially pH, oxidation state (e.g., Fe(II) vs Fe(III)), co-ions, ionic strength, initial target-element concentration, and the presence of organic substances that can interfere with precipitation and separations. For machining coolant and metalworking-fluid streams specifically, the presence of oils/organics and surfactants creates fouling and process-integration challenges that typically require dedicated pre-treatment before membranes or adsorption/ion-exchange recovery steps are viable at scale.</w:t>
      </w:r>
    </w:p>
    <w:bookmarkEnd w:id="20"/>
    <w:bookmarkStart w:id="21" w:name="stream-characterization"/>
    <w:p>
      <w:pPr>
        <w:pStyle w:val="Heading2"/>
      </w:pPr>
      <w:r>
        <w:t xml:space="preserve">Stream characterization</w:t>
      </w:r>
    </w:p>
    <w:p>
      <w:pPr>
        <w:pStyle w:val="FirstParagraph"/>
      </w:pPr>
      <w:r>
        <w:t xml:space="preserve">Machining coolants (especially water-mix cutting fluids) are commonly prepared as oil-in-water emulsions, with concentrates diluted to form emulsions on the order of 2–10% (v/v) oil in water, which strongly shapes separation chemistry and downstream membrane fouling behavior. The literature explicitly treats machining coolant as a high-volume wastewater category where precipitation is attractive because it can be cost-effective for large volumes, including high-salinity streams such as machining coolant, even when more selective methods would be too costly for bulk treatment. Work focused on rare-earth recovery and removal also notes that real industrial waste streams (including machining slurries/coolants) are more complex than synthetic solutions because cutting fluids and organic contaminants introduce matrix effects that complicate REE recovery and can require pre-treatment or pre-concentration.</w:t>
      </w:r>
    </w:p>
    <w:p>
      <w:pPr>
        <w:pStyle w:val="BodyText"/>
      </w:pPr>
      <w:r>
        <w:t xml:space="preserve">Where the objective is coolant reuse rather than discharge, process performance is often evaluated on suspended solids, organics, surfactants, and phosphorus metrics that correlate with coolant stability and downstream equipment reliability (e.g., total suspended solids removal, COD/TOC reduction). One study of grinding-fluid recycling used 1000 L baths filled with aqueous grinding fluids (e.g., 2–5% KFL plus 1–2% FC 430 for Zn–Al parts, or 2–5% ZF 322 for steel parts) and noted that such fluids are periodically cleaned using coagulant addition and centrifugation in current practice, illustrating the combination of oil/surfactant and fine-solid contamination typical of industrial coolant loops.</w:t>
      </w:r>
    </w:p>
    <w:bookmarkEnd w:id="21"/>
    <w:bookmarkStart w:id="26" w:name="chemical-precipitation"/>
    <w:p>
      <w:pPr>
        <w:pStyle w:val="Heading2"/>
      </w:pPr>
      <w:r>
        <w:t xml:space="preserve">Chemical precipitation</w:t>
      </w:r>
    </w:p>
    <w:bookmarkStart w:id="22" w:name="hydroxide-precipitation-windows"/>
    <w:p>
      <w:pPr>
        <w:pStyle w:val="Heading3"/>
      </w:pPr>
      <w:r>
        <w:t xml:space="preserve">Hydroxide precipitation windows</w:t>
      </w:r>
    </w:p>
    <w:p>
      <w:pPr>
        <w:pStyle w:val="FirstParagraph"/>
      </w:pPr>
      <w:r>
        <w:t xml:space="preserve">Across multiple sources, REE hydroxide precipitation is consistently described as a high-pH process in which REEs precipitate as hydroxides when pH is raised into the near-neutral to alkaline range (often cited roughly pH 8–10, depending on matrix and concentration). Experimental pH-onset ranges for hydroxide precipitation differ by element; one reported set of tested REEs begins to precipitate as hydroxides at high pH values including La (pH 7.82–8.10), Ce (pH 7.60–7.80), Pr (pH 7.35–7.89), Eu (pH 6.82–7.30), Tb (~7.20), and Y (pH 6.75–6.83). Consistent with this, Pourbaix-based reasoning in precipitation-focused work also notes that REEs tend to form rare-earth hydroxides in slightly alkaline solutions (e.g., pH &gt; 7.5).</w:t>
      </w:r>
    </w:p>
    <w:bookmarkEnd w:id="22"/>
    <w:bookmarkStart w:id="23" w:name="staged-ph-control-for-fe-and-al-removal"/>
    <w:p>
      <w:pPr>
        <w:pStyle w:val="Heading3"/>
      </w:pPr>
      <w:r>
        <w:t xml:space="preserve">Staged pH control for Fe and Al removal</w:t>
      </w:r>
    </w:p>
    <w:p>
      <w:pPr>
        <w:pStyle w:val="FirstParagraph"/>
      </w:pPr>
      <w:r>
        <w:t xml:space="preserve">Because iron and aluminum often precipitate at lower pH than REEs, staged neutralization is a common selectivity strategy in REE-bearing aqueous systems, where Fe is removed first at mildly acidic pH before raising pH for REE hydroxides. Practical guidance and review-level summaries describe Fe precipitation occurring first (often around pH ~3–4) prior to REE precipitation at higher pH, enabling separation by pH control when oxidation state is managed appropriately. In a staged precipitation study, more than 95% of iron and aluminum were removed at pH values of ~3.0 and ~4.5, respectively, while lanthanum removal increased gradually as pH was elevated, underscoring narrower pH windows for Fe/Al versus broader pH response for REEs.</w:t>
      </w:r>
    </w:p>
    <w:p>
      <w:pPr>
        <w:pStyle w:val="BodyText"/>
      </w:pPr>
      <w:r>
        <w:t xml:space="preserve">Where Fe is present as Fe(II), oxidation to Fe(III) can materially change precipitation and co-precipitation behavior; for example, one study reported that REE removal was noticeably elevated at pH 4.0 after adding H2O2 to convert ferrous to ferric ions, which caused nearly complete precipitation of iron and enhanced REE removal via interaction with ferric precipitates. However, competitive species such as aluminum can suppress REE adsorption onto ferric precipitates, which can reduce apparent REE removal under otherwise similar oxidation and pH conditions.</w:t>
      </w:r>
    </w:p>
    <w:bookmarkEnd w:id="23"/>
    <w:bookmarkStart w:id="24" w:name="Xae89ce2a5d6e37e6b67ee1b048b4f3515760578"/>
    <w:p>
      <w:pPr>
        <w:pStyle w:val="Heading3"/>
      </w:pPr>
      <w:r>
        <w:t xml:space="preserve">Oxalate precipitation for recovery at low pH</w:t>
      </w:r>
    </w:p>
    <w:p>
      <w:pPr>
        <w:pStyle w:val="FirstParagraph"/>
      </w:pPr>
      <w:r>
        <w:t xml:space="preserve">When the objective is REE recovery as a solid product (rather than simple immobilization), oxalic-acid precipitation is widely used because rare-earth oxalates have low solubility, but achieving high recovery often requires substantial reagent consumption and careful pH control. Multiple sources report that oxalic-acid-based REE precipitation can be optimized at low acidic pH ranges, with pH ~1.25–2.0 repeatedly identified as a window that maximizes recovery and precipitate purity while limiting co-precipitation of contaminants. One dataset indicates that, as pH rises above ~3, precipitation of contaminants (Al, Ca, Fe, Mn, Si) increases and reduces final REE product purity, while a pH around 1.5–2 is recommended to keep contaminants low and recovery high.</w:t>
      </w:r>
    </w:p>
    <w:p>
      <w:pPr>
        <w:pStyle w:val="BodyText"/>
      </w:pPr>
      <w:r>
        <w:t xml:space="preserve">Oxalic acid speciation also explains the pH sensitivity of the precipitation kinetics and selectivity, with H2C2O4 dominating at pH &lt; 1, HC2O4− between pH 1–4, and C2O4^{2−} at pH &gt; 4, which changes complexation and precipitation equilibria in multi-ion solutions. In one analysis, a typical oxalic acid efficiency (OAE) of ~60% was observed, with ~40% of added oxalic acid consumed by precipitating/complexing non-REE elements, directly tying wastewater matrix composition to reagent costs and secondary waste generation. Where iron is present, Fe(III) can compete strongly for oxalate (forming Fe–oxalate complexes) and reduce REE precipitation efficiency, reinforcing the importance of upstream Fe removal or strict stoichiometry control in oxalate routes.</w:t>
      </w:r>
    </w:p>
    <w:bookmarkEnd w:id="24"/>
    <w:bookmarkStart w:id="25" w:name="phosphate-and-carbonate-precipitation"/>
    <w:p>
      <w:pPr>
        <w:pStyle w:val="Heading3"/>
      </w:pPr>
      <w:r>
        <w:t xml:space="preserve">Phosphate and carbonate precipitation</w:t>
      </w:r>
    </w:p>
    <w:p>
      <w:pPr>
        <w:pStyle w:val="FirstParagraph"/>
      </w:pPr>
      <w:r>
        <w:t xml:space="preserve">Beyond hydroxides and oxalates, phosphate-based precipitation is used both for REE recovery and for broader metal immobilization, and phosphate excess can yield high REE recovery ratios under appropriate conditions. One phosphate precipitation study reports that selective separation of REEs from transition elements was achieved at pH values below 2.5, while also emphasizing that Fe is removed first by oxidizing Fe(II) to Fe(III) and precipitating Fe(III) hydroxides using strong alkalis prior to REE recovery steps.</w:t>
      </w:r>
    </w:p>
    <w:bookmarkEnd w:id="25"/>
    <w:bookmarkEnd w:id="26"/>
    <w:bookmarkStart w:id="27" w:name="membrane-separation"/>
    <w:p>
      <w:pPr>
        <w:pStyle w:val="Heading2"/>
      </w:pPr>
      <w:r>
        <w:t xml:space="preserve">Membrane separation</w:t>
      </w:r>
    </w:p>
    <w:p>
      <w:pPr>
        <w:pStyle w:val="FirstParagraph"/>
      </w:pPr>
      <w:r>
        <w:t xml:space="preserve">Membrane unit operations are commonly deployed as pre-treatment and pre-concentration steps for REE-bearing wastewaters, including ultrafiltration and nanofiltration, to remove particulates and/or concentrate dissolved/complexed REEs prior to chemical separation or sorption-based capture. The membrane-technology literature classifies nanofiltration (NF) as having pore sizes below ~2 nm and ultrafiltration (UF) as having pore sizes in the ~2–50 nm range, and uses these in tandem with upstream conditioning (e.g., pH adjustment and complexation) to improve rejection of REE species.</w:t>
      </w:r>
    </w:p>
    <w:p>
      <w:pPr>
        <w:pStyle w:val="BodyText"/>
      </w:pPr>
      <w:r>
        <w:t xml:space="preserve">A representative performance datapoint for REE rejection comes from micellar-enhanced ultrafiltration (MEUF), where an UP020 membrane achieved high REE rejection (~97%) at pH = 3.5, 25 °C, 3 bar operating pressure, 60 min contact time, and SDS concentration of 8.0 mM. A separate membrane-performance summary reports NF270 with MWCO ~180 ± 20 Da operating at pH 1 with rejection &gt;98%, illustrating that tighter NF can achieve high rejection in acidic matrices (subject to fouling and scaling management). Polymer-complexation approaches are also reported, where addition of PAA (e.g., 30 mg/L) enabled &gt;90% REE rejection at pH values between 8 and 9, consistent with the use of complexation to shift REE speciation toward membrane-rejectable forms.</w:t>
      </w:r>
    </w:p>
    <w:p>
      <w:pPr>
        <w:pStyle w:val="BodyText"/>
      </w:pPr>
      <w:r>
        <w:t xml:space="preserve">For industrial coolant recycling, a two-stage filtration train has been demonstrated for grinding fluids: an initial bag filtration at 5 µm followed by low-pressure ultrafiltration at ~4 bar using polyacrylonitrile membranes with a 30 kDa cut-off in cross-flow batch mode at 25 ± 1 °C. In those experiments, ultrafiltration completely removed TSS, and reductions across turbidity, COD, TOC, surfactants, and total phosphorus ranged from ~80% to almost 100%, supporting UF as a robust coolant-loop clarification step even when the objective is not REE capture per se. However, broader reviews emphasize that membrane fouling and stability (including fouling from oils/organics) are key constraints for industrial coolant streams, reinforcing the need for pre-treatment specifically targeting emulsified oil and organic load before NF/UF deployment for REE recovery.</w:t>
      </w:r>
    </w:p>
    <w:bookmarkEnd w:id="27"/>
    <w:bookmarkStart w:id="28" w:name="ion-exchange-and-adsorption"/>
    <w:p>
      <w:pPr>
        <w:pStyle w:val="Heading2"/>
      </w:pPr>
      <w:r>
        <w:t xml:space="preserve">Ion exchange and adsorption</w:t>
      </w:r>
    </w:p>
    <w:p>
      <w:pPr>
        <w:pStyle w:val="FirstParagraph"/>
      </w:pPr>
      <w:r>
        <w:t xml:space="preserve">Ion exchange and adsorption are repeatedly identified as promising or mature routes for concentrating and selectively capturing REEs from dilute aqueous streams, particularly when paired with upstream pre-concentration or particulate removal steps. A practical example of ion exchange for REE separation reports use of Lewatit MDS 200 H, a strongly acidic gel-type cation-exchange resin, with an operating pH range of 2–14 and maximum operating temperature of 120 °C, and provides quantitative operating data for column flow, loading, and elution strategies using NH4EDTA eluent chemistry. Under reported optimal conditions (initial pH 6.0 and 0.02 mol·L−1 NH4EDTA), the system achieved 98.4% heavy-REE purity in the initial stage (0–10 bed volumes), illustrating the potential for high-selectivity polishing when feed chemistry is controlled and compatible with chelant-based elution.</w:t>
      </w:r>
    </w:p>
    <w:p>
      <w:pPr>
        <w:pStyle w:val="BodyText"/>
      </w:pPr>
      <w:r>
        <w:t xml:space="preserve">For adsorption, zeolites are a documented low-cost sorbent option for certain REE ions; one study reports over 90% removal of lanthanum and cerium using zeolite as a sorbent and provides relevant material properties for Zeolite 13X (e.g., 4–8 mesh particle size, BET surface area 576 m²/g, average pore size ~20 Å). The adsorption literature also highlights high-capacity engineered sorbents (e.g., EDTA-chitosan modified materials) with reported maximum adsorption capacities for REEs reaching hundreds of mg/g in laboratory systems, indicating the technical feasibility of high-capacity capture media for polishing or pre-concentration (subject to real-matrix limitations).</w:t>
      </w:r>
    </w:p>
    <w:bookmarkEnd w:id="28"/>
    <w:bookmarkStart w:id="29" w:name="solvent-extraction"/>
    <w:p>
      <w:pPr>
        <w:pStyle w:val="Heading2"/>
      </w:pPr>
      <w:r>
        <w:t xml:space="preserve">Solvent extraction</w:t>
      </w:r>
    </w:p>
    <w:p>
      <w:pPr>
        <w:pStyle w:val="FirstParagraph"/>
      </w:pPr>
      <w:r>
        <w:t xml:space="preserve">Solvent extraction remains a standard, widely used approach for REE separation from aqueous solutions in hydrometallurgical flowsheets, but it is typically most suitable after leaching or concentration steps rather than direct treatment of very dilute waters, and it can generate organic waste streams that complicate wastewater management. Solvent-extraction systems commonly use organophosphorus extractants; one example reports use of D2EHPA and TBP in an organic diluent (Elixore 205) at an organic-to-aqueous (O:A) ratio of 1:1, with stripping of loaded organic using high-concentration nitric acid (6 mol/L). For membrane-solvent-extraction hybrids, supported liquid membranes (SLMs) are explicitly described as a modification of solvent extraction that combines extraction and stripping in one unit operation, with one parameterized example using 10% v/v DEHPA in kerosene and a 5 mol·L−1 HNO3 stripping solution.</w:t>
      </w:r>
    </w:p>
    <w:p>
      <w:pPr>
        <w:pStyle w:val="BodyText"/>
      </w:pPr>
      <w:r>
        <w:t xml:space="preserve">Because machining-coolant wastewaters can be high-volume and may carry substantial organic load (surfactants/oil), extraction-precipitation strategies have been proposed as potentially suitable for large-scale applications in treating rare-earth-contaminated coolants while reducing chemical oxygen demand relative to conventional liquid–liquid extraction approaches in some reported comparisons.</w:t>
      </w:r>
    </w:p>
    <w:bookmarkEnd w:id="29"/>
    <w:bookmarkStart w:id="30" w:name="cobalt-specific-treatment"/>
    <w:p>
      <w:pPr>
        <w:pStyle w:val="Heading2"/>
      </w:pPr>
      <w:r>
        <w:t xml:space="preserve">Cobalt-specific treatment</w:t>
      </w:r>
    </w:p>
    <w:p>
      <w:pPr>
        <w:pStyle w:val="FirstParagraph"/>
      </w:pPr>
      <w:r>
        <w:t xml:space="preserve">Cobalt can co-occur with REEs in relevant aqueous systems and can partition into treatment solids; one study notes that treatment solids can concentrate critical metals such as cobalt into oxide/hydroxide waste products, but does not provide a single universal pH window for cobalt removal analogous to the REE hydroxide window. In a staged-neutralization approach, one report states that neutralizing to pH 8 to 8.5 precipitated all REEs and co-precipitated most cobalt and manganese as a pre-concentrate material, indicating that cobalt can be captured in the same high-pH precipitation step used for REEs in some matrices. Conversely, in oxalate precipitation systems designed to recover REE oxalates, cobalt behavior can differ; one experimental report found cobalt concentrations did not change significantly during oxalic acid precipitation and concluded cobalt did not co-precipitate with REE oxalates under the tested conditions, enabling separation by filtration of REE oxalate solids from cobalt-bearing liquor.</w:t>
      </w:r>
    </w:p>
    <w:p>
      <w:pPr>
        <w:pStyle w:val="BodyText"/>
      </w:pPr>
      <w:r>
        <w:t xml:space="preserve">These contrasting behaviors imply that cobalt management strategy should be selected based on the chosen REE recovery route and desired product form, rather than assumed to be inherently coupled to REE precipitation in all systems.</w:t>
      </w:r>
    </w:p>
    <w:bookmarkEnd w:id="30"/>
    <w:bookmarkStart w:id="31" w:name="metalworking-fluid-pre-treatment"/>
    <w:p>
      <w:pPr>
        <w:pStyle w:val="Heading2"/>
      </w:pPr>
      <w:r>
        <w:t xml:space="preserve">Metalworking fluid pre-treatment</w:t>
      </w:r>
    </w:p>
    <w:p>
      <w:pPr>
        <w:pStyle w:val="FirstParagraph"/>
      </w:pPr>
      <w:r>
        <w:t xml:space="preserve">Effective treatment of REE-contaminated machining coolants generally begins with physical and physicochemical steps to remove free oil, tramp oil, and suspended solids, because these constituents foul membranes and interfere with adsorption/ion exchange performance. Industrial guidance on metalworking-fluid recycling describes practical unit operations including sump vacuum and filtration to remove chips/solids, skimmers and coalescers to remove tramp oil before it emulsifies, and centrifuges to separate pure coolant from emulsified tramp oil and both large and small contaminants. Consistent with this, another summary notes that many centrifuges can remove particulate matter as small as ~2 microns, which can be relevant for capturing fine metallic fines and abrasive particles typical of grinding operations.</w:t>
      </w:r>
    </w:p>
    <w:p>
      <w:pPr>
        <w:pStyle w:val="BodyText"/>
      </w:pPr>
      <w:r>
        <w:t xml:space="preserve">Electrocoagulation is also described as a metalworking-fluid wastewater treatment method for removal of oils and contaminants, and one industry-facing source reports that electrocoagulation equipment followed by a filter press can reduce COD in cutting-fluid wastewaters by ~80%. For sites where disposal/haulage costs dominate, evaporative treatment is described as a practical route for spent coolant management, with one vendor claiming evaporators can provide a payback of less than one year versus hauling and help meet stringent spent-coolant disposal regulations (noting that performance and economics are site-specific).</w:t>
      </w:r>
    </w:p>
    <w:bookmarkEnd w:id="31"/>
    <w:bookmarkStart w:id="32" w:name="integrated-treatment-train-design"/>
    <w:p>
      <w:pPr>
        <w:pStyle w:val="Heading2"/>
      </w:pPr>
      <w:r>
        <w:t xml:space="preserve">Integrated treatment train design</w:t>
      </w:r>
    </w:p>
    <w:p>
      <w:pPr>
        <w:pStyle w:val="FirstParagraph"/>
      </w:pPr>
      <w:r>
        <w:t xml:space="preserve">An integrated treatment train for rare-earth-contaminated machining coolants typically combines (1) oil and solids removal, (2) pH and redox conditioning, (3) bulk metal removal by precipitation/coagulation, and (4) polishing and/or recovery operations (membrane concentration, ion exchange/adsorption, or selective precipitation to a product). The table below summarizes a pragmatic chemistry-first decision structure, emphasizing pH setpoints and the role of pre-treatment.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Primary chemistry lever</w:t>
            </w:r>
          </w:p>
        </w:tc>
        <w:tc>
          <w:tcPr/>
          <w:p>
            <w:pPr>
              <w:pStyle w:val="Compact"/>
            </w:pPr>
            <w:r>
              <w:t xml:space="preserve">Typical pH regime</w:t>
            </w:r>
          </w:p>
        </w:tc>
        <w:tc>
          <w:tcPr/>
          <w:p>
            <w:pPr>
              <w:pStyle w:val="Compact"/>
            </w:pPr>
            <w:r>
              <w:t xml:space="preserve">Enabling steps and constraints</w:t>
            </w:r>
          </w:p>
        </w:tc>
      </w:tr>
      <w:tr>
        <w:tc>
          <w:tcPr/>
          <w:p>
            <w:pPr>
              <w:pStyle w:val="Compact"/>
            </w:pPr>
            <w:r>
              <w:t xml:space="preserve">Bulk immobilization and discharge compliance</w:t>
            </w:r>
          </w:p>
        </w:tc>
        <w:tc>
          <w:tcPr/>
          <w:p>
            <w:pPr>
              <w:pStyle w:val="Compact"/>
            </w:pPr>
            <w:r>
              <w:t xml:space="preserve">Hydroxide precipitation via pH raise</w:t>
            </w:r>
          </w:p>
        </w:tc>
        <w:tc>
          <w:tcPr/>
          <w:p>
            <w:pPr>
              <w:pStyle w:val="Compact"/>
            </w:pPr>
            <w:r>
              <w:t xml:space="preserve">REE hydroxides typically precipitate at pH ~8–10 (matrix dependent)</w:t>
            </w:r>
          </w:p>
        </w:tc>
        <w:tc>
          <w:tcPr/>
          <w:p>
            <w:pPr>
              <w:pStyle w:val="Compact"/>
            </w:pPr>
            <w:r>
              <w:t xml:space="preserve">Stage Fe removal first at ~pH 3–4 before REE precipitation to reduce co-precipitation losses</w:t>
            </w:r>
          </w:p>
        </w:tc>
      </w:tr>
      <w:tr>
        <w:tc>
          <w:tcPr/>
          <w:p>
            <w:pPr>
              <w:pStyle w:val="Compact"/>
            </w:pPr>
            <w:r>
              <w:t xml:space="preserve">REE recovery as oxalate product</w:t>
            </w:r>
          </w:p>
        </w:tc>
        <w:tc>
          <w:tcPr/>
          <w:p>
            <w:pPr>
              <w:pStyle w:val="Compact"/>
            </w:pPr>
            <w:r>
              <w:t xml:space="preserve">Oxalic acid precipitation</w:t>
            </w:r>
          </w:p>
        </w:tc>
        <w:tc>
          <w:tcPr/>
          <w:p>
            <w:pPr>
              <w:pStyle w:val="Compact"/>
            </w:pPr>
            <w:r>
              <w:t xml:space="preserve">Optimal recovery/purity often at pH ~1.25–2.0 with sufficient residence time and dosing (e.g., 30–40 g/L, &gt;2 h)</w:t>
            </w:r>
          </w:p>
        </w:tc>
        <w:tc>
          <w:tcPr/>
          <w:p>
            <w:pPr>
              <w:pStyle w:val="Compact"/>
            </w:pPr>
            <w:r>
              <w:t xml:space="preserve">Oxalic acid efficiency can be ~60% with substantial consumption by non-REEs, so impurity control and pre-removal of Fe are critical</w:t>
            </w:r>
          </w:p>
        </w:tc>
      </w:tr>
      <w:tr>
        <w:tc>
          <w:tcPr/>
          <w:p>
            <w:pPr>
              <w:pStyle w:val="Compact"/>
            </w:pPr>
            <w:r>
              <w:t xml:space="preserve">Coolant-loop reuse with reduced disposal</w:t>
            </w:r>
          </w:p>
        </w:tc>
        <w:tc>
          <w:tcPr/>
          <w:p>
            <w:pPr>
              <w:pStyle w:val="Compact"/>
            </w:pPr>
            <w:r>
              <w:t xml:space="preserve">Filtration and UF clarification</w:t>
            </w:r>
          </w:p>
        </w:tc>
        <w:tc>
          <w:tcPr/>
          <w:p>
            <w:pPr>
              <w:pStyle w:val="Compact"/>
            </w:pPr>
            <w:r>
              <w:t xml:space="preserve">UF with 30 kDa at ~4 bar in cross-flow can fully remove TSS and reduce COD/TOC/surfactants substantially</w:t>
            </w:r>
          </w:p>
        </w:tc>
        <w:tc>
          <w:tcPr/>
          <w:p>
            <w:pPr>
              <w:pStyle w:val="Compact"/>
            </w:pPr>
            <w:r>
              <w:t xml:space="preserve">Oils/surfactants remain key; upstream coagulation/centrifugation is commonly used in practice</w:t>
            </w:r>
          </w:p>
        </w:tc>
      </w:tr>
      <w:tr>
        <w:tc>
          <w:tcPr/>
          <w:p>
            <w:pPr>
              <w:pStyle w:val="Compact"/>
            </w:pPr>
            <w:r>
              <w:t xml:space="preserve">REE pre-concentration from dilute streams</w:t>
            </w:r>
          </w:p>
        </w:tc>
        <w:tc>
          <w:tcPr/>
          <w:p>
            <w:pPr>
              <w:pStyle w:val="Compact"/>
            </w:pPr>
            <w:r>
              <w:t xml:space="preserve">Membranes (NF/UF) and/or ion exchange</w:t>
            </w:r>
          </w:p>
        </w:tc>
        <w:tc>
          <w:tcPr/>
          <w:p>
            <w:pPr>
              <w:pStyle w:val="Compact"/>
            </w:pPr>
            <w:r>
              <w:t xml:space="preserve">MEUF example: pH 3.5, 3 bar, SDS 8 mM, 97% rejection on UP020</w:t>
            </w:r>
          </w:p>
        </w:tc>
        <w:tc>
          <w:tcPr/>
          <w:p>
            <w:pPr>
              <w:pStyle w:val="Compact"/>
            </w:pPr>
            <w:r>
              <w:t xml:space="preserve">Fouling from oils/organics requires dedicated pre-treatment in coolant matrices</w:t>
            </w:r>
          </w:p>
        </w:tc>
      </w:tr>
      <w:tr>
        <w:tc>
          <w:tcPr/>
          <w:p>
            <w:pPr>
              <w:pStyle w:val="Compact"/>
            </w:pPr>
            <w:r>
              <w:t xml:space="preserve">High-selectivity separation or polishing</w:t>
            </w:r>
          </w:p>
        </w:tc>
        <w:tc>
          <w:tcPr/>
          <w:p>
            <w:pPr>
              <w:pStyle w:val="Compact"/>
            </w:pPr>
            <w:r>
              <w:t xml:space="preserve">Ion exchange or engineered sorbents</w:t>
            </w:r>
          </w:p>
        </w:tc>
        <w:tc>
          <w:tcPr/>
          <w:p>
            <w:pPr>
              <w:pStyle w:val="Compact"/>
            </w:pPr>
            <w:r>
              <w:t xml:space="preserve">Example IX system operated with initial pH 6.0 and NH4EDTA eluent to reach high HREE purity</w:t>
            </w:r>
          </w:p>
        </w:tc>
        <w:tc>
          <w:tcPr/>
          <w:p>
            <w:pPr>
              <w:pStyle w:val="Compact"/>
            </w:pPr>
            <w:r>
              <w:t xml:space="preserve">Resin selection and regeneration chemistry matter; strong-acid resin examples report broad operating pH ranges and acid regeneration options</w:t>
            </w:r>
          </w:p>
        </w:tc>
      </w:tr>
    </w:tbl>
    <w:p>
      <w:pPr>
        <w:pStyle w:val="BodyText"/>
      </w:pPr>
      <w:r>
        <w:t xml:space="preserve">In practice, pH-based precipitation and coagulation steps are typically paired with physical solids separation (clarification, filtration, centrifugation) because pH adjustment is used both to drive metal hydroxide formation and to facilitate suspended solids removal via aggregation and settling. Where downstream membranes are included, the literature emphasizes that pH changes can induce scaling (e.g., Ca/silicate precipitation) and that pretreatment is needed to prevent membrane shutdown, which is directly relevant to coolant streams containing hardness ions and surfactants.</w:t>
      </w:r>
    </w:p>
    <w:p>
      <w:pPr>
        <w:pStyle w:val="BodyText"/>
      </w:pPr>
      <w:r>
        <w:t xml:space="preserve">Finally, effluent targets and required treatment intensity are explicitly described as site-specific, with regulatory discharge limits and effluent quality objectives determining the necessary level of REE and co-metal removal rather than any universal REE discharge standard. Where numeric standards are available for analogous regulated parameters, examples include rare-earth-industry effluent standards such as GB 26451-2011 limits (phosphorus 5 mg/L, COD 100 mg/L) used in one study to judge compliance after oxidation and precipitation treatment, illustrating how non-metal metrics (COD) can become the binding constraint even when metal/phosphorus targets are met.</w:t>
      </w:r>
    </w:p>
    <w:bookmarkEnd w:id="32"/>
    <w:bookmarkStart w:id="33" w:name="X71acb9f74422d2ddac8a0cc4db19918aa111d72"/>
    <w:p>
      <w:pPr>
        <w:pStyle w:val="Heading2"/>
      </w:pPr>
      <w:r>
        <w:t xml:space="preserve">Implications for Algamol case development</w:t>
      </w:r>
    </w:p>
    <w:p>
      <w:pPr>
        <w:pStyle w:val="FirstParagraph"/>
      </w:pPr>
      <w:r>
        <w:t xml:space="preserve">This chemistry review provides a parameter set that can be used to scope an Algamol facility business case around REE-contaminated coolant treatment by bounding required pH windows, identifying pre-treatment needs, and identifying where higher selectivity steps (ion exchange/adsorption or membrane pre-concentration) become feasible after organics control. In particular, the need for organics and emulsified oil removal before membrane or adsorption-based recovery is explicitly emphasized in coolant-focused reviews, which should be treated as a front-end requirement when estimating system footprint, consumables, and operational complexity at a machining site. Benchmarking against alternative onsite strategies (e.g., evaporators marketed for spent coolant disposal) can also inform the economic baseline, given claims of payback driven by reduced hauling and compliance support, even though detailed cost data remain site-specific and would need onsite measurement and validation.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