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a997d0e9f526cf095100f566a7854ef0c04ae4"/>
    <w:p>
      <w:pPr>
        <w:pStyle w:val="Heading1"/>
      </w:pPr>
      <w:r>
        <w:t xml:space="preserve">Research Report: Advancing Microalgae Treatment for NdFeB Wastewater Compliance</w:t>
      </w:r>
    </w:p>
    <w:bookmarkStart w:id="26" w:name="X0e10f5f0850bd73ae1d37c176db7ba0a318c4de"/>
    <w:p>
      <w:pPr>
        <w:pStyle w:val="Heading2"/>
      </w:pPr>
      <w:r>
        <w:t xml:space="preserve">PART 1: Cost Estimate and Equipment Specifications for 24-Month Experimental Program</w:t>
      </w:r>
    </w:p>
    <w:bookmarkStart w:id="20" w:name="X8dbc9b6eed54416025297cec095cc9ad6522bf9"/>
    <w:p>
      <w:pPr>
        <w:pStyle w:val="Heading3"/>
      </w:pPr>
      <w:r>
        <w:t xml:space="preserve">1.1 Analytical Costs</w:t>
      </w:r>
    </w:p>
    <w:p>
      <w:pPr>
        <w:pStyle w:val="FirstParagraph"/>
      </w:pPr>
      <w:r>
        <w:t xml:space="preserve">The analytical budget is a primary cost driver for the proposed 24-month program, dominated by Inductively Coupled Plasma (ICP) analysis. Costs per sample for multi-element analysis via ICP-Mass Spectrometry (ICP-MS) or ICP-Optical Emission Spectrometry (ICP-OES) vary by provider, turnaround time, and academic/commercial status, ranging from approximately $60 to over $550 per sample. Sample preparation, such as acid digestion, adds an additional $20 to $80 per sample.</w:t>
      </w:r>
    </w:p>
    <w:p>
      <w:pPr>
        <w:pStyle w:val="BodyText"/>
      </w:pPr>
      <w:r>
        <w:t xml:space="preserve">A preliminary estimate of the number of aqueous samples required for the factorial screening in Phase 2 is substantial. The proposed design (6 species × 3 biomass forms × 4 dilutions × 6 pH levels × 2 Fe conditions × 3 coolant levels × 3 EDTA levels × 3 triplicates) generates a theoretical maximum of 19,440 samples. This is likely an overestimate, as a fractional factorial or staged design would be employed. A more realistic estimate for budgeting purposes across all phases is: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(Characterization):</w:t>
      </w:r>
      <w:r>
        <w:t xml:space="preserve"> </w:t>
      </w:r>
      <w:r>
        <w:t xml:space="preserve">~50 samples (multiple waste streams, replicates).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(Screening):</w:t>
      </w:r>
      <w:r>
        <w:t xml:space="preserve"> </w:t>
      </w:r>
      <w:r>
        <w:t xml:space="preserve">~2,500 samples (assuming a reduced fractional factorial design).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(Optimization):</w:t>
      </w:r>
      <w:r>
        <w:t xml:space="preserve"> </w:t>
      </w:r>
      <w:r>
        <w:t xml:space="preserve">~1,000 samples (kinetic, dosage, and polishing tests).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(Pilot Monitoring):</w:t>
      </w:r>
      <w:r>
        <w:t xml:space="preserve"> </w:t>
      </w:r>
      <w:r>
        <w:t xml:space="preserve">~500 samples (30-day continuous operation, daily/weekly sampling).</w:t>
      </w:r>
    </w:p>
    <w:p>
      <w:pPr>
        <w:pStyle w:val="FirstParagraph"/>
      </w:pPr>
      <w:r>
        <w:rPr>
          <w:b/>
          <w:bCs/>
        </w:rPr>
        <w:t xml:space="preserve">Total Estimated Samples:</w:t>
      </w:r>
      <w:r>
        <w:t xml:space="preserve"> </w:t>
      </w:r>
      <w:r>
        <w:t xml:space="preserve">~4,050.</w:t>
      </w:r>
    </w:p>
    <w:p>
      <w:pPr>
        <w:pStyle w:val="BodyText"/>
      </w:pPr>
      <w:r>
        <w:rPr>
          <w:b/>
          <w:bCs/>
        </w:rPr>
        <w:t xml:space="preserve">Estimated Analytical Budget: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 Cost (Range)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Cost (Estimate)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ICP-MS/OES Analysis (External)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$90 - $180 /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$364,500 - $729,000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Sample Digestion/Prep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$25 - $50 /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$101,250 - $202,500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Other Analyses (COD, TSS, O&amp;G)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$35 - $70 / 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$35,000 - $70,000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$500,750 - $1,001,500</w:t>
            </w:r>
          </w:p>
        </w:tc>
      </w:tr>
    </w:tbl>
    <w:p>
      <w:pPr>
        <w:pStyle w:val="BodyText"/>
      </w:pPr>
      <w:r>
        <w:t xml:space="preserve">This budget assumes external laboratory services. Acquiring an ICP-MS instrument carries a capital cost of approximately $150,000, plus ongoing operational and maintenance expenses. REE analysis requires ICP-MS with detection limits in the low parts-per-billion (ppb) range to verify compliance with stringent standards.</w:t>
      </w:r>
    </w:p>
    <w:bookmarkEnd w:id="20"/>
    <w:bookmarkStart w:id="21" w:name="X4ca43dcc41fe3017f172d50a0207cc00e0cbee0"/>
    <w:p>
      <w:pPr>
        <w:pStyle w:val="Heading3"/>
      </w:pPr>
      <w:r>
        <w:t xml:space="preserve">1.2 Culture Facility and Equipment</w:t>
      </w:r>
    </w:p>
    <w:p>
      <w:pPr>
        <w:pStyle w:val="FirstParagraph"/>
      </w:pPr>
      <w:r>
        <w:t xml:space="preserve">The program requires a dedicated microalgae culture facility with bench-scale and pilot-scale capabilities.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Bench-Scale Screening (Phase 2):</w:t>
      </w:r>
      <w:r>
        <w:t xml:space="preserve"> </w:t>
      </w:r>
      <w:r>
        <w:t xml:space="preserve">A cost-effective setup using multiple 1-10 L glass bubble-column or airlift photobioreactors (PBRs) is recommended. While commercial, fully-automated lab reactors can cost several thousand dollars each, simplified systems can be assembled for as little as $160 to $800 per unit. The budget should account for at least 12-18 bench-scale reactors to allow for parallel experiments.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Pilot Reactor (Phase 4):</w:t>
      </w:r>
      <w:r>
        <w:t xml:space="preserve"> </w:t>
      </w:r>
      <w:r>
        <w:t xml:space="preserve">A 50-100 L continuous-flow pilot reactor is required. The cost for a reactor of this scale can range from $50,000 to $100,000, depending on materials (glass vs. stainless steel) and the level of instrumentation (pumps, sensors, control systems).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Harvesting Equipment:</w:t>
      </w:r>
      <w:r>
        <w:t xml:space="preserve"> </w:t>
      </w:r>
      <w:r>
        <w:t xml:space="preserve">A laboratory-scale centrifuge is essential for biomass harvesting and sample preparation, with associated costs for centrifuge tubes. Flocculation can be achieved with cost-effective reagents like calcium hydroxide.</w:t>
      </w:r>
    </w:p>
    <w:bookmarkEnd w:id="21"/>
    <w:bookmarkStart w:id="22" w:name="X0a4dddb2cbad49123a9baabf95341ed4ca7a36d"/>
    <w:p>
      <w:pPr>
        <w:pStyle w:val="Heading3"/>
      </w:pPr>
      <w:r>
        <w:t xml:space="preserve">1.3 Consumables and Reagents</w:t>
      </w:r>
    </w:p>
    <w:p>
      <w:pPr>
        <w:pStyle w:val="FirstParagraph"/>
      </w:pPr>
      <w:r>
        <w:t xml:space="preserve">This category represents a significant operational cost. Key consumables include: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Culture Media:</w:t>
      </w:r>
      <w:r>
        <w:t xml:space="preserve"> </w:t>
      </w:r>
      <w:r>
        <w:t xml:space="preserve">Standard media like Bold's Basal Medium (BBM) and BG-11.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Synthetic Leachate Salts:</w:t>
      </w:r>
      <w:r>
        <w:t xml:space="preserve"> </w:t>
      </w:r>
      <w:r>
        <w:t xml:space="preserve">Bulk quantities of FeCl₃·6H₂O, NdCl₃·6H₂O, H₃BO₃, CoCl₂·6H₂O, and other metal salts are needed to prepare the recipes in Part 2.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 Chemicals:</w:t>
      </w:r>
      <w:r>
        <w:t xml:space="preserve"> </w:t>
      </w:r>
      <w:r>
        <w:t xml:space="preserve">Acids (HNO₃, HCl), bases (NaOH), immobilization agents (sodium alginate), biomass pretreatment chemicals (NaOH), representative metalworking fluids, and chelating agents (EDTA). EDTA has been costed at approximately $1 per 100 g in related studies.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Gases:</w:t>
      </w:r>
      <w:r>
        <w:t xml:space="preserve"> </w:t>
      </w:r>
      <w:r>
        <w:t xml:space="preserve">CO₂ for culture pH control and growth, priced at approximately $45 per metric ton.</w:t>
      </w:r>
    </w:p>
    <w:bookmarkEnd w:id="22"/>
    <w:bookmarkStart w:id="23" w:name="Xad9a1c87fe154be4515c0be097135b371b21c25"/>
    <w:p>
      <w:pPr>
        <w:pStyle w:val="Heading3"/>
      </w:pPr>
      <w:r>
        <w:t xml:space="preserve">1.4 Waste Handling and Disposal</w:t>
      </w:r>
    </w:p>
    <w:p>
      <w:pPr>
        <w:pStyle w:val="FirstParagraph"/>
      </w:pPr>
      <w:r>
        <w:t xml:space="preserve">The metal-laden biomass and spent leachate will likely be classified as hazardous waste. Disposal costs are highly variable.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Waste Characterization:</w:t>
      </w:r>
      <w:r>
        <w:t xml:space="preserve"> </w:t>
      </w:r>
      <w:r>
        <w:t xml:space="preserve">TCLP (Toxicity Characteristic Leaching Procedure) testing is required for waste classification and costs approximately $60-$145 per sample.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Solid Waste Disposal:</w:t>
      </w:r>
      <w:r>
        <w:t xml:space="preserve"> </w:t>
      </w:r>
      <w:r>
        <w:t xml:space="preserve">Costs for heavy metal-bearing solids range from $164 per 55-gallon drum to over $190 per ton.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Liquid Waste Disposal:</w:t>
      </w:r>
      <w:r>
        <w:t xml:space="preserve"> </w:t>
      </w:r>
      <w:r>
        <w:t xml:space="preserve">Costs for heavy metal-bearing liquids are approximately $170 per 55-gallon drum or $0.83 to $1.70 per gallon.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Lab Packs:</w:t>
      </w:r>
      <w:r>
        <w:t xml:space="preserve"> </w:t>
      </w:r>
      <w:r>
        <w:t xml:space="preserve">Disposal of small-volume laboratory waste is often handled via lab packs, costing around $400-$600 per 55-gallon drum or on a per-kilogram basis (e.g., $15-$26/kg for corrosive/poisonous materials).</w:t>
      </w:r>
    </w:p>
    <w:bookmarkEnd w:id="23"/>
    <w:bookmarkStart w:id="24" w:name="Xd3c293ba6dbd77e8dc5ed261133c0d0f925341b"/>
    <w:p>
      <w:pPr>
        <w:pStyle w:val="Heading3"/>
      </w:pPr>
      <w:r>
        <w:t xml:space="preserve">1.5 Personnel</w:t>
      </w:r>
    </w:p>
    <w:p>
      <w:pPr>
        <w:pStyle w:val="FirstParagraph"/>
      </w:pPr>
      <w:r>
        <w:t xml:space="preserve">The project is estimated to require two full-time equivalent (FTE) personnel. Based on 2023 hourly rates for environmental consulting and technical services, the roles would include: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 FTE - Project Manager / Senior Scientist:</w:t>
      </w:r>
      <w:r>
        <w:t xml:space="preserve"> </w:t>
      </w:r>
      <w:r>
        <w:t xml:space="preserve">Responsible for experimental design, data analysis, and reporting. (Rate: ~$185/hr)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 FTE - Laboratory Technician:</w:t>
      </w:r>
      <w:r>
        <w:t xml:space="preserve"> </w:t>
      </w:r>
      <w:r>
        <w:t xml:space="preserve">Responsible for algae cultivation, running experiments, and sample preparation. (Rate: ~$47 - $106/hr)</w:t>
      </w:r>
    </w:p>
    <w:bookmarkEnd w:id="24"/>
    <w:bookmarkStart w:id="25" w:name="X6fab24aa973c0d6c2f1a895fb79a80d41833eb6"/>
    <w:p>
      <w:pPr>
        <w:pStyle w:val="Heading3"/>
      </w:pPr>
      <w:r>
        <w:t xml:space="preserve">1.6 Total Budget Summary</w:t>
      </w:r>
    </w:p>
    <w:p>
      <w:pPr>
        <w:pStyle w:val="FirstParagraph"/>
      </w:pPr>
      <w:r>
        <w:t xml:space="preserve">The following table provides a rough order-of-magnitude budget for the 24-month program.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24-Month Cost (USD)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Analytical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~4,000 samples at an average all-in cost of ~$187/sample.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Equipment (Capital)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one 100-L pilot reactor ($100k) and multiple bench-scale PBRs ($25k total).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Consumables &amp; Reagents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 for media, salts, chemicals, gases.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Waste Handling &amp; Disposal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 characterization, transport, and disposal of solid/liquid hazardous waste.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Personnel (2 FTEs)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$920,000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2 FTEs x 2080 hrs/yr x 2 yrs at blended rate of $110/hr.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$1,970,000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Contingency (15%)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$295,500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Budget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$2,265,500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25"/>
    <w:bookmarkEnd w:id="26"/>
    <w:bookmarkStart w:id="33" w:name="Xf75775b08bb93d39868e3f26997dbc7213499be"/>
    <w:p>
      <w:pPr>
        <w:pStyle w:val="Heading2"/>
      </w:pPr>
      <w:r>
        <w:t xml:space="preserve">PART 2: Synthetic NdFeB Leachate Recipe Table</w:t>
      </w:r>
    </w:p>
    <w:bookmarkStart w:id="27" w:name="X4346932bbb987f7db58144f21341e7768a4069d"/>
    <w:p>
      <w:pPr>
        <w:pStyle w:val="Heading3"/>
      </w:pPr>
      <w:r>
        <w:t xml:space="preserve">2.1 Real NdFeB Leachate Composition Reference Data</w:t>
      </w:r>
    </w:p>
    <w:p>
      <w:pPr>
        <w:pStyle w:val="FirstParagraph"/>
      </w:pPr>
      <w:r>
        <w:t xml:space="preserve">Real NdFeB waste composition varies by source (grinding, cutting, end-of-life magnets) but is consistently dominated by iron, followed by neodymium and other rare earths. Bulk solid compositions reported in literature show Fe content from 56-74 wt%, Nd from 20-32 wt%, B from 0.7-1.2 wt%, and Co from &lt;1 to 5 wt%. When leached, these solids produce highly acidic, metal-rich solutions. For example, leaching scrap magnet powder in strong acid can yield solutions with Fe concentrations as high as 60-85 g/L and Nd concentrations of 28-33 g/L. The following recipes are designed to simulate these challenging conditions for different waste streams.</w:t>
      </w:r>
    </w:p>
    <w:bookmarkEnd w:id="27"/>
    <w:bookmarkStart w:id="28" w:name="X9f37a9ff3d7a255ad8f09d0e250c180d5d3c5f5"/>
    <w:p>
      <w:pPr>
        <w:pStyle w:val="Heading3"/>
      </w:pPr>
      <w:r>
        <w:t xml:space="preserve">2.2 Synthetic Recipe: Grinding Sludge Leachate</w:t>
      </w:r>
    </w:p>
    <w:p>
      <w:pPr>
        <w:pStyle w:val="FirstParagraph"/>
      </w:pPr>
      <w:r>
        <w:t xml:space="preserve">This recipe simulates the highly concentrated, acidic leachate from the direct dissolution of grinding sludge or magnet powder.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Replicate a high-iron, high-REE, low-pH matrix.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Target pH:</w:t>
      </w:r>
      <w:r>
        <w:t xml:space="preserve"> </w:t>
      </w:r>
      <w:r>
        <w:t xml:space="preserve">2.0 (Adjust with concentrated HNO₃)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Salts per 1 Liter of Deionized Water: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FeCl₃·6H₂O</w:t>
      </w:r>
      <w:r>
        <w:t xml:space="preserve">: 24.2 g (for 5,000 mg/L Fe³⁺)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NdCl₃·6H₂O</w:t>
      </w:r>
      <w:r>
        <w:t xml:space="preserve">: 3.7 g (for 1,500 mg/L Nd³⁺)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DyCl₃·6H₂O</w:t>
      </w:r>
      <w:r>
        <w:t xml:space="preserve">: 0.3 g (for 120 mg/L Dy³⁺)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PrCl₃·6H₂O</w:t>
      </w:r>
      <w:r>
        <w:t xml:space="preserve">: 0.7 g (for 300 mg/L Pr³⁺)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H₃BO₃</w:t>
      </w:r>
      <w:r>
        <w:t xml:space="preserve"> </w:t>
      </w:r>
      <w:r>
        <w:t xml:space="preserve">(Boric Acid): 2.86 g (for 500 mg/L B)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CoCl₂·6H₂O</w:t>
      </w:r>
      <w:r>
        <w:t xml:space="preserve">: 0.4 g (for 100 mg/L Co²⁺)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CuCl₂·2H₂O</w:t>
      </w:r>
      <w:r>
        <w:t xml:space="preserve">: 0.13 g (for 50 mg/L Cu²⁺)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NiCl₂·6H₂O</w:t>
      </w:r>
      <w:r>
        <w:t xml:space="preserve">: 0.2 g (for 50 mg/L Ni²⁺)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AlCl₃·6H₂O</w:t>
      </w:r>
      <w:r>
        <w:t xml:space="preserve">: 0.37 g (for 50 mg/L Al³⁺)</w:t>
      </w:r>
    </w:p>
    <w:bookmarkEnd w:id="28"/>
    <w:bookmarkStart w:id="29" w:name="X1fc28a27b504eab3105befe4c4840f74d176c9a"/>
    <w:p>
      <w:pPr>
        <w:pStyle w:val="Heading3"/>
      </w:pPr>
      <w:r>
        <w:t xml:space="preserve">2.3 Synthetic Recipe: Polishing Slurry Leachate</w:t>
      </w:r>
    </w:p>
    <w:p>
      <w:pPr>
        <w:pStyle w:val="FirstParagraph"/>
      </w:pPr>
      <w:r>
        <w:t xml:space="preserve">This recipe represents a more dilute waste stream, typical of final polishing steps, with lower metal content but potentially higher suspended solids.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Simulate a lower-concentration, multi-metal stream.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Target pH:</w:t>
      </w:r>
      <w:r>
        <w:t xml:space="preserve"> </w:t>
      </w:r>
      <w:r>
        <w:t xml:space="preserve">3.5 (Adjust with dilute HNO₃)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Salts per 1 Liter of Deionized Water: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FeCl₃·6H₂O</w:t>
      </w:r>
      <w:r>
        <w:t xml:space="preserve">: 2.4 g (for 500 mg/L Fe³⁺)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NdCl₃·6H₂O</w:t>
      </w:r>
      <w:r>
        <w:t xml:space="preserve">: 0.37 g (for 150 mg/L Nd³⁺)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DyCl₃·6H₂O</w:t>
      </w:r>
      <w:r>
        <w:t xml:space="preserve">: 0.03 g (for 12 mg/L Dy³⁺)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PrCl₃·6H₂O</w:t>
      </w:r>
      <w:r>
        <w:t xml:space="preserve">: 0.07 g (for 30 mg/L Pr³⁺)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H₃BO₃</w:t>
      </w:r>
      <w:r>
        <w:t xml:space="preserve">: 0.29 g (for 50 mg/L B)</w:t>
      </w:r>
    </w:p>
    <w:p>
      <w:pPr>
        <w:pStyle w:val="Compact"/>
        <w:numPr>
          <w:ilvl w:val="1"/>
          <w:numId w:val="1009"/>
        </w:numPr>
      </w:pPr>
      <w:r>
        <w:rPr>
          <w:rStyle w:val="VerbatimChar"/>
        </w:rPr>
        <w:t xml:space="preserve">CoCl₂·6H₂O</w:t>
      </w:r>
      <w:r>
        <w:t xml:space="preserve">: 0.04 g (for 10 mg/L Co²⁺)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Add 1 g/L of fine Al₂O₃ powder to simulate abrasive particles.</w:t>
      </w:r>
    </w:p>
    <w:bookmarkEnd w:id="29"/>
    <w:bookmarkStart w:id="30" w:name="X29fc9bca247b00f9c4aad979c2ba33967d63d4b"/>
    <w:p>
      <w:pPr>
        <w:pStyle w:val="Heading3"/>
      </w:pPr>
      <w:r>
        <w:t xml:space="preserve">2.4 Synthetic Recipe: Coolant Waste</w:t>
      </w:r>
    </w:p>
    <w:p>
      <w:pPr>
        <w:pStyle w:val="FirstParagraph"/>
      </w:pPr>
      <w:r>
        <w:t xml:space="preserve">This simulates contaminated metalworking fluid from grinding/cutting operations, characterized by a high organic load (COD) and emulsified oils.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Test biosorption in the presence of high COD and coolant additives.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 pH:</w:t>
      </w:r>
      <w:r>
        <w:t xml:space="preserve"> </w:t>
      </w:r>
      <w:r>
        <w:t xml:space="preserve">8.5-9.0 (Inherent to coolant; adjust with NaOH if needed)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Preparation per 1 Liter:</w:t>
      </w:r>
    </w:p>
    <w:p>
      <w:pPr>
        <w:pStyle w:val="Compact"/>
        <w:numPr>
          <w:ilvl w:val="1"/>
          <w:numId w:val="1011"/>
        </w:numPr>
      </w:pPr>
      <w:r>
        <w:t xml:space="preserve">Add 50 mL (5% v/v) of a representative water-soluble mineral oil-based coolant (e.g., Mobilcut 230).</w:t>
      </w:r>
    </w:p>
    <w:p>
      <w:pPr>
        <w:pStyle w:val="Compact"/>
        <w:numPr>
          <w:ilvl w:val="1"/>
          <w:numId w:val="1011"/>
        </w:numPr>
      </w:pPr>
      <w:r>
        <w:t xml:space="preserve">Add metal salts to achieve target contamination levels: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FeSO₄·7H₂O</w:t>
      </w:r>
      <w:r>
        <w:t xml:space="preserve">: 0.5 g (for 100 mg/L Fe²⁺)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NdCl₃·6H₂O</w:t>
      </w:r>
      <w:r>
        <w:t xml:space="preserve">: 0.07 g (for 30 mg/L Nd³⁺)</w:t>
      </w:r>
    </w:p>
    <w:p>
      <w:pPr>
        <w:pStyle w:val="Compact"/>
        <w:numPr>
          <w:ilvl w:val="2"/>
          <w:numId w:val="1012"/>
        </w:numPr>
      </w:pPr>
      <w:r>
        <w:rPr>
          <w:rStyle w:val="VerbatimChar"/>
        </w:rPr>
        <w:t xml:space="preserve">CoCl₂·6H₂O</w:t>
      </w:r>
      <w:r>
        <w:t xml:space="preserve">: 0.02 g (for 5 mg/L Co²⁺)</w:t>
      </w:r>
    </w:p>
    <w:p>
      <w:pPr>
        <w:pStyle w:val="Compact"/>
        <w:numPr>
          <w:ilvl w:val="1"/>
          <w:numId w:val="1012"/>
        </w:numPr>
      </w:pPr>
      <w:r>
        <w:rPr>
          <w:b/>
          <w:bCs/>
        </w:rPr>
        <w:t xml:space="preserve">Expected COD:</w:t>
      </w:r>
      <w:r>
        <w:t xml:space="preserve"> </w:t>
      </w:r>
      <w:r>
        <w:t xml:space="preserve">&gt;10,000 mg/L (from coolant base).</w:t>
      </w:r>
    </w:p>
    <w:bookmarkEnd w:id="30"/>
    <w:bookmarkStart w:id="31" w:name="X0081b7ecb6b114931c64b4b17bf71eda30a3934"/>
    <w:p>
      <w:pPr>
        <w:pStyle w:val="Heading3"/>
      </w:pPr>
      <w:r>
        <w:t xml:space="preserve">2.5 Synthetic Recipe: Cleaning Agent Waste</w:t>
      </w:r>
    </w:p>
    <w:p>
      <w:pPr>
        <w:pStyle w:val="FirstParagraph"/>
      </w:pPr>
      <w:r>
        <w:t xml:space="preserve">This recipe simulates alkaline degreasing or cleaning solutions containing chelating agents like EDTA, which compete with biomass for metal binding.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Objective:</w:t>
      </w:r>
      <w:r>
        <w:t xml:space="preserve"> </w:t>
      </w:r>
      <w:r>
        <w:t xml:space="preserve">Evaluate the impact of strong chelating agents on biosorption.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Target pH:</w:t>
      </w:r>
      <w:r>
        <w:t xml:space="preserve"> </w:t>
      </w:r>
      <w:r>
        <w:t xml:space="preserve">10.0 (Adjust with NaOH)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Preparation per 1 Liter:</w:t>
      </w:r>
    </w:p>
    <w:p>
      <w:pPr>
        <w:pStyle w:val="Compact"/>
        <w:numPr>
          <w:ilvl w:val="1"/>
          <w:numId w:val="1014"/>
        </w:numPr>
      </w:pPr>
      <w:r>
        <w:rPr>
          <w:rStyle w:val="VerbatimChar"/>
        </w:rPr>
        <w:t xml:space="preserve">Disodium EDTA</w:t>
      </w:r>
      <w:r>
        <w:t xml:space="preserve">: 0.37 g (for 1 mM EDTA)</w:t>
      </w:r>
    </w:p>
    <w:p>
      <w:pPr>
        <w:pStyle w:val="Compact"/>
        <w:numPr>
          <w:ilvl w:val="1"/>
          <w:numId w:val="1014"/>
        </w:numPr>
      </w:pPr>
      <w:r>
        <w:t xml:space="preserve">Add metal salts to achieve target contamination levels: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FeCl₃·6H₂O</w:t>
      </w:r>
      <w:r>
        <w:t xml:space="preserve">: 0.24 g (for 50 mg/L Fe³⁺)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NdCl₃·6H₂O</w:t>
      </w:r>
      <w:r>
        <w:t xml:space="preserve">: 0.07 g (for 30 mg/L Nd³⁺)</w:t>
      </w:r>
    </w:p>
    <w:p>
      <w:pPr>
        <w:pStyle w:val="Compact"/>
        <w:numPr>
          <w:ilvl w:val="2"/>
          <w:numId w:val="1015"/>
        </w:numPr>
      </w:pPr>
      <w:r>
        <w:rPr>
          <w:rStyle w:val="VerbatimChar"/>
        </w:rPr>
        <w:t xml:space="preserve">NiCl₂·6H₂O</w:t>
      </w:r>
      <w:r>
        <w:t xml:space="preserve">: 0.04 g (for 10 mg/L Ni²⁺)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Metals will be strongly chelated by EDTA.</w:t>
      </w:r>
    </w:p>
    <w:bookmarkEnd w:id="31"/>
    <w:bookmarkStart w:id="32" w:name="X6262289f42187b829aa04309a8cca13c4706e2c"/>
    <w:p>
      <w:pPr>
        <w:pStyle w:val="Heading3"/>
      </w:pPr>
      <w:r>
        <w:t xml:space="preserve">2.6 Master Recipe Comparison Table</w:t>
      </w:r>
    </w:p>
    <w:p>
      <w:pPr>
        <w:pStyle w:val="FirstParagraph"/>
      </w:pPr>
      <w:r>
        <w:t xml:space="preserve">This table summarizes the key characteristics of the four proposed synthetic leachate recipes.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Grinding Sludge Leachate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Polishing Slurry Leachate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Coolant Waste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Cleaning Agent Waste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8.5 - 9.0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REE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Trace (from coolant)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Fe:REE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~2.6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~3.3 :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~1.7 :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(&gt;10,000)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Organic Additives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5% (v/v) Water-Soluble Oil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mM EDTA</w:t>
            </w:r>
          </w:p>
        </w:tc>
      </w:tr>
    </w:tbl>
    <w:bookmarkEnd w:id="32"/>
    <w:bookmarkEnd w:id="33"/>
    <w:bookmarkStart w:id="37" w:name="X11f46d1c2a10331ca46e7a435bd9c7a43f2497a"/>
    <w:p>
      <w:pPr>
        <w:pStyle w:val="Heading2"/>
      </w:pPr>
      <w:r>
        <w:t xml:space="preserve">PART 3: Expanded Regulatory Discharge Limit Compilation</w:t>
      </w:r>
    </w:p>
    <w:bookmarkStart w:id="34" w:name="Xec3a38aeedd2f09710da9b9a9e59f172612107a"/>
    <w:p>
      <w:pPr>
        <w:pStyle w:val="Heading3"/>
      </w:pPr>
      <w:r>
        <w:t xml:space="preserve">3.1 Complete Discharge Limit Table</w:t>
      </w:r>
    </w:p>
    <w:p>
      <w:pPr>
        <w:pStyle w:val="FirstParagraph"/>
      </w:pPr>
      <w:r>
        <w:t xml:space="preserve">The following table compiles wastewater discharge limits for key NdFeB contaminants across major regulatory frameworks. Values are daily maximums or ranges unless otherwise specified.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Contaminant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BAT-AEL (NFM BREF)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BAT-AEL (STM BREF)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BAT-AEL (Ferrous BREF)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EPA 40 CFR 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GB 26451 / 25467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 (Fe)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0.1 - 10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1 - 5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Boron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Cobalt 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0.1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Copper (Cu)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0.05 - 0.5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0.2 - 2.0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3.38 mg/L (Daily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Nickel (Ni)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0.5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0.2 - 2.0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0.01 - 0.2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 mg/L (Daily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Aluminum (Al)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1 - 10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Chromium (Cr)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0.2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0.1 - 2.0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0.01 - 0.1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2.77 mg/L (Daily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REE (Nd, 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6.0 - 9.0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6.0 - 9.0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100 - 500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30 - 90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mg/L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5 - 30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5 - 30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mg/L (Daily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mg/L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Oil &amp; Grease (HOI)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1 - 5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0.5 - 4 mg/L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 mg/L (Daily Max)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Ammonia (as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mg/L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Limits are presented as ranges or daily maximums (mg/L). EU BAT-AELs are often expressed as ranges representing daily averages achievable with Best Available Techniques.</w:t>
      </w:r>
    </w:p>
    <w:bookmarkEnd w:id="34"/>
    <w:bookmarkStart w:id="35" w:name="Xea122df1c15a76de764dfe53106d36a4604a7fa"/>
    <w:p>
      <w:pPr>
        <w:pStyle w:val="Heading3"/>
      </w:pPr>
      <w:r>
        <w:t xml:space="preserve">3.2 Updated Compliance Gap Matrix</w:t>
      </w:r>
    </w:p>
    <w:p>
      <w:pPr>
        <w:pStyle w:val="FirstParagraph"/>
      </w:pPr>
      <w:r>
        <w:t xml:space="preserve">This matrix assesses the feasibility of microalgae treatment by comparing the best-reported final concentrations from the evidence table against the strictest applicable regulatory limits identified above.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Contaminant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Strictest Limit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Microalgae Result (mg/L)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Feasibility Rating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Iron (Fe)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(EU Ferrous)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in high-Fe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(Assumed)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Boron 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(EU STM)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~55.9 (from 60 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54.9 mg/L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Cobalt (Co)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 (EU NFM)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1.01 (from 63.6 mg/L)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 mg/L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YELLOW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Neodymium (Nd)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vs.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Dysprosium (Dy)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specific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vs.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Copper (Cu)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 (EU NFM)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vs.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Nickel (Ni)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 (EU Ferrous)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vs.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(EU Ferrous)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in magnet leachate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(EU STM/Ferrous)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 in magnet leachate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Assessed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BLACK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Feasibility Rating: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GREEN:</w:t>
      </w:r>
      <w:r>
        <w:t xml:space="preserve"> </w:t>
      </w:r>
      <w:r>
        <w:t xml:space="preserve">Compliance demonstrated in relevant matrix.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YELLOW:</w:t>
      </w:r>
      <w:r>
        <w:t xml:space="preserve"> </w:t>
      </w:r>
      <w:r>
        <w:t xml:space="preserve">Plausible; high removal shown but not to the strictest limit or in ideal matrix.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RED:</w:t>
      </w:r>
      <w:r>
        <w:t xml:space="preserve"> </w:t>
      </w:r>
      <w:r>
        <w:t xml:space="preserve">Evidence suggests removal is insufficient to meet limits.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BLACK:</w:t>
      </w:r>
      <w:r>
        <w:t xml:space="preserve"> </w:t>
      </w:r>
      <w:r>
        <w:t xml:space="preserve">No data available for this contaminant in a relevant matrix vs. limits.</w:t>
      </w:r>
    </w:p>
    <w:bookmarkEnd w:id="35"/>
    <w:bookmarkStart w:id="36" w:name="X57e5ed90c638455fb3acab2bec0ca18dceeccf4"/>
    <w:p>
      <w:pPr>
        <w:pStyle w:val="Heading3"/>
      </w:pPr>
      <w:r>
        <w:t xml:space="preserve">3.3 Jurisdiction Comparison</w:t>
      </w:r>
    </w:p>
    <w:p>
      <w:pPr>
        <w:pStyle w:val="FirstParagraph"/>
      </w:pPr>
      <w:r>
        <w:t xml:space="preserve">A comparison of the regulatory frameworks reveals significant differences in stringency, which has major implications for facility siting and treatment technology selection.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Most Stringent: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European Union's BAT-AELs</w:t>
      </w:r>
      <w:r>
        <w:t xml:space="preserve"> </w:t>
      </w:r>
      <w:r>
        <w:t xml:space="preserve">are generally the strictest, particularly for common heavy metals. The Ferrous Metals Processing BREF sets a very low limit for Nickel (0.01-0.2 mg/L), and the Non-Ferrous Metals BREF imposes a tight limit for Cobalt (≤ 0.1 mg/L). The STM BREF sets a challenging limit for Boron (1-10 mg/L).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Less Stringent (for some parameters):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US EPA 40 CFR 433</w:t>
      </w:r>
      <w:r>
        <w:t xml:space="preserve"> </w:t>
      </w:r>
      <w:r>
        <w:t xml:space="preserve">standard for metal finishing has higher daily maximum limits for some metals like Copper (3.38 mg/L) and Nickel (3.98 mg/L) compared to EU BAT-AELs, but it does not specify limits for key NdFeB contaminants like iron, boron, cobalt, or rare earth elements.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China's GB 26451</w:t>
      </w:r>
      <w:r>
        <w:t xml:space="preserve"> </w:t>
      </w:r>
      <w:r>
        <w:t xml:space="preserve">for the rare earth industry focuses on different parameters, setting limits for Ammonia (15 mg/L) and COD (70 mg/L) but lacks specific limits for many of the individual metals found in NdFeB waste in the available documentation.</w:t>
      </w:r>
    </w:p>
    <w:p>
      <w:pPr>
        <w:pStyle w:val="FirstParagraph"/>
      </w:pPr>
      <w:r>
        <w:t xml:space="preserve">Overall, compliance would be most difficult in the European Union due to its comprehensive and stringent metal-by-metal limits. The lack of specific REE discharge limits across all major frameworks is a significant regulatory gap. Boron and Nickel appear to be the most challenging metals to treat to the strictest EU standards based on existing evidence.</w:t>
      </w:r>
    </w:p>
    <w:bookmarkEnd w:id="36"/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20" w:before="120" w:line="276" w:lineRule="auto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36"/>
      <w:szCs w:val="3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  <w:insideH w:color="404040" w:space="0" w:sz="4" w:val="single"/>
        <w:insideV w:color="404040" w:space="0" w:sz="4" w:val="single"/>
      </w:tblBorders>
      <w:tblCellMar>
        <w:top w:type="dxa" w:w="55"/>
        <w:left w:type="dxa" w:w="108"/>
        <w:bottom w:type="dxa" w:w="55"/>
        <w:right w:type="dxa" w:w="108"/>
      </w:tblCellMar>
    </w:tblPr>
    <w:trPr>
      <w:cantSplit/>
    </w:trPr>
    <w:tcPr>
      <w:tcBorders>
        <w:top w:color="404040" w:space="0" w:sz="4" w:val="single"/>
        <w:left w:color="404040" w:space="0" w:sz="4" w:val="single"/>
        <w:bottom w:color="404040" w:space="0" w:sz="4" w:val="single"/>
        <w:right w:color="404040" w:space="0" w:sz="4" w:val="single"/>
      </w:tcBorders>
    </w:tcPr>
    <w:tblStylePr w:type="firstRow">
      <w:rPr>
        <w:b/>
        <w:bCs/>
      </w:rPr>
      <w:tblPr>
        <w:jc w:val="left"/>
        <w:tblInd w:type="dxa" w:w="0"/>
      </w:tblPr>
      <w:trPr>
        <w:jc w:val="left"/>
        <w:tblHeader/>
      </w:trPr>
      <w:tcPr>
        <w:tcBorders>
          <w:top w:color="404040" w:space="0" w:sz="6" w:val="single"/>
          <w:left w:color="404040" w:space="0" w:sz="4" w:val="single"/>
          <w:bottom w:color="404040" w:space="0" w:sz="6" w:val="single"/>
          <w:right w:color="404040" w:space="0" w:sz="4" w:val="single"/>
        </w:tcBorders>
        <w:shd w:color="auto" w:fill="F0F0F0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0F05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2026-02-12T15:21:35Z</dcterms:created>
  <dcterms:modified xsi:type="dcterms:W3CDTF">2026-02-12T15:21:35Z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sl">
    <vt:lpwstr>/code/chef/pandoc/chicago-short-notes-and-bib.csl</vt:lpwstr>
  </property>
</Properties>
</file>